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AED" w:rsidRPr="00C62DB3" w:rsidRDefault="009C6AED" w:rsidP="009C6AED">
      <w:pPr>
        <w:tabs>
          <w:tab w:val="left" w:pos="6315"/>
          <w:tab w:val="right" w:pos="9406"/>
        </w:tabs>
        <w:spacing w:before="120"/>
        <w:jc w:val="right"/>
        <w:rPr>
          <w:rFonts w:cstheme="minorHAnsi"/>
          <w:bCs/>
          <w:iCs/>
          <w:sz w:val="24"/>
          <w:szCs w:val="24"/>
          <w:lang w:val="tr-TR"/>
        </w:rPr>
      </w:pPr>
      <w:r w:rsidRPr="00C62DB3">
        <w:rPr>
          <w:rFonts w:cstheme="minorHAnsi"/>
          <w:b/>
          <w:bCs/>
          <w:iCs/>
          <w:sz w:val="24"/>
          <w:szCs w:val="24"/>
          <w:lang w:val="tr-TR"/>
        </w:rPr>
        <w:t>Elif Arabacıoğlu</w:t>
      </w:r>
      <w:r w:rsidRPr="00C62DB3">
        <w:rPr>
          <w:rFonts w:cstheme="minorHAnsi"/>
          <w:b/>
          <w:iCs/>
          <w:sz w:val="24"/>
          <w:szCs w:val="24"/>
          <w:lang w:val="tr-TR"/>
        </w:rPr>
        <w:t>*</w:t>
      </w:r>
      <w:r w:rsidRPr="00C62DB3">
        <w:rPr>
          <w:rFonts w:cstheme="minorHAnsi"/>
          <w:bCs/>
          <w:iCs/>
          <w:sz w:val="24"/>
          <w:szCs w:val="24"/>
          <w:lang w:val="tr-TR"/>
        </w:rPr>
        <w:t xml:space="preserve"> </w:t>
      </w:r>
    </w:p>
    <w:p w:rsidR="009C6AED" w:rsidRPr="00C62DB3" w:rsidRDefault="009C6AED" w:rsidP="009C6AED">
      <w:pPr>
        <w:spacing w:before="120"/>
        <w:jc w:val="right"/>
        <w:rPr>
          <w:rFonts w:cstheme="minorHAnsi"/>
          <w:b/>
          <w:bCs/>
          <w:i/>
          <w:iCs/>
          <w:sz w:val="24"/>
          <w:szCs w:val="24"/>
          <w:lang w:val="tr-TR"/>
        </w:rPr>
      </w:pPr>
      <w:r w:rsidRPr="00C62DB3">
        <w:rPr>
          <w:rFonts w:cstheme="minorHAnsi"/>
          <w:b/>
          <w:i/>
          <w:iCs/>
          <w:sz w:val="24"/>
          <w:szCs w:val="24"/>
          <w:lang w:val="tr-TR"/>
        </w:rPr>
        <w:t xml:space="preserve">AIPPI Türkiye / Fikri Mülkiyet Hakları Koruma </w:t>
      </w:r>
      <w:proofErr w:type="spellStart"/>
      <w:r w:rsidRPr="00C62DB3">
        <w:rPr>
          <w:rFonts w:cstheme="minorHAnsi"/>
          <w:b/>
          <w:i/>
          <w:iCs/>
          <w:sz w:val="24"/>
          <w:szCs w:val="24"/>
          <w:lang w:val="tr-TR"/>
        </w:rPr>
        <w:t>Derneği</w:t>
      </w:r>
      <w:proofErr w:type="spellEnd"/>
      <w:r w:rsidRPr="00C62DB3">
        <w:rPr>
          <w:rFonts w:cstheme="minorHAnsi"/>
          <w:b/>
          <w:bCs/>
          <w:i/>
          <w:iCs/>
          <w:sz w:val="24"/>
          <w:szCs w:val="24"/>
          <w:lang w:val="tr-TR"/>
        </w:rPr>
        <w:t xml:space="preserve"> Üyesi</w:t>
      </w:r>
    </w:p>
    <w:p w:rsidR="009C6AED" w:rsidRPr="00C62DB3" w:rsidRDefault="009C6AED" w:rsidP="009C6AED">
      <w:pPr>
        <w:tabs>
          <w:tab w:val="left" w:pos="6315"/>
          <w:tab w:val="right" w:pos="9406"/>
        </w:tabs>
        <w:spacing w:before="120"/>
        <w:jc w:val="right"/>
        <w:rPr>
          <w:rFonts w:cstheme="minorHAnsi"/>
          <w:b/>
          <w:bCs/>
          <w:iCs/>
          <w:sz w:val="24"/>
          <w:szCs w:val="24"/>
          <w:lang w:val="tr-TR"/>
        </w:rPr>
      </w:pPr>
    </w:p>
    <w:p w:rsidR="009C6AED" w:rsidRPr="00C62DB3" w:rsidRDefault="009C6AED" w:rsidP="009C6AED">
      <w:pPr>
        <w:spacing w:before="120"/>
        <w:jc w:val="center"/>
        <w:rPr>
          <w:rFonts w:cstheme="minorHAnsi"/>
          <w:b/>
          <w:sz w:val="28"/>
          <w:szCs w:val="26"/>
          <w:lang w:val="tr-TR"/>
        </w:rPr>
      </w:pPr>
      <w:bookmarkStart w:id="0" w:name="_GoBack"/>
      <w:r w:rsidRPr="00C62DB3">
        <w:rPr>
          <w:rFonts w:cstheme="minorHAnsi"/>
          <w:b/>
          <w:sz w:val="28"/>
          <w:szCs w:val="26"/>
          <w:lang w:val="tr-TR"/>
        </w:rPr>
        <w:t>2023 Dünya Kongresi Patent Konu Çalışması: Eşdeğerler Doktrini</w:t>
      </w:r>
    </w:p>
    <w:bookmarkEnd w:id="0"/>
    <w:p w:rsidR="009C6AED" w:rsidRPr="00C62DB3" w:rsidRDefault="009C6AED" w:rsidP="009C6AED">
      <w:pPr>
        <w:spacing w:before="120"/>
        <w:jc w:val="both"/>
        <w:rPr>
          <w:rFonts w:cstheme="minorHAnsi"/>
          <w:sz w:val="24"/>
          <w:szCs w:val="24"/>
          <w:lang w:val="tr-TR"/>
        </w:rPr>
      </w:pPr>
      <w:r w:rsidRPr="00C62DB3">
        <w:rPr>
          <w:rFonts w:cstheme="minorHAnsi"/>
          <w:sz w:val="24"/>
          <w:szCs w:val="24"/>
          <w:lang w:val="tr-TR"/>
        </w:rPr>
        <w:t>Bu yıl İstanbul’da gerçekleşen ve ev sahipliği yaptığımız 2023 Dünya Kongresi’nde görüşülen patent çalışma konusu eşdeğerler doktriniydi.</w:t>
      </w:r>
    </w:p>
    <w:p w:rsidR="009C6AED" w:rsidRPr="00C62DB3" w:rsidRDefault="009C6AED" w:rsidP="009C6AED">
      <w:pPr>
        <w:spacing w:before="120"/>
        <w:jc w:val="both"/>
        <w:rPr>
          <w:rFonts w:cstheme="minorHAnsi"/>
          <w:sz w:val="24"/>
          <w:szCs w:val="24"/>
          <w:lang w:val="tr-TR"/>
        </w:rPr>
      </w:pPr>
      <w:r w:rsidRPr="00C62DB3">
        <w:rPr>
          <w:rFonts w:cstheme="minorHAnsi"/>
          <w:sz w:val="24"/>
          <w:szCs w:val="24"/>
          <w:lang w:val="tr-TR"/>
        </w:rPr>
        <w:t xml:space="preserve">Yaklaşık bir sene süren çalışmalar ile öncelikle ulusal grupların konu ile ilgili görüş ve açıklamaları toplanmıştır ve sonrasında da genel </w:t>
      </w:r>
      <w:proofErr w:type="gramStart"/>
      <w:r w:rsidRPr="00C62DB3">
        <w:rPr>
          <w:rFonts w:cstheme="minorHAnsi"/>
          <w:sz w:val="24"/>
          <w:szCs w:val="24"/>
          <w:lang w:val="tr-TR"/>
        </w:rPr>
        <w:t>raportör</w:t>
      </w:r>
      <w:proofErr w:type="gramEnd"/>
      <w:r w:rsidRPr="00C62DB3">
        <w:rPr>
          <w:rFonts w:cstheme="minorHAnsi"/>
          <w:sz w:val="24"/>
          <w:szCs w:val="24"/>
          <w:lang w:val="tr-TR"/>
        </w:rPr>
        <w:t xml:space="preserve"> ekibi tarafından yaklaşık kırk ulusal rapor incelenerek bir özet rapor hazırlanmıştır. Bu özet rapor, tüm ülke temsilcilerinin katılımıyla gerçekleşen farklı oturumlarda oylama usulüyle tartışılarak bir karar metni taslağı oluşturulmuş ve her yıl olduğu gibi bu yıl da uzun tartışmalar sonucunda icra komitesi oylaması sonucunda kabul edilmiştir.</w:t>
      </w:r>
    </w:p>
    <w:p w:rsidR="009C6AED" w:rsidRPr="00C62DB3" w:rsidRDefault="009C6AED" w:rsidP="009C6AED">
      <w:pPr>
        <w:spacing w:before="120"/>
        <w:jc w:val="both"/>
        <w:rPr>
          <w:rFonts w:cstheme="minorHAnsi"/>
          <w:sz w:val="24"/>
          <w:szCs w:val="24"/>
          <w:lang w:val="tr-TR"/>
        </w:rPr>
      </w:pPr>
      <w:r w:rsidRPr="00C62DB3">
        <w:rPr>
          <w:rFonts w:cstheme="minorHAnsi"/>
          <w:sz w:val="24"/>
          <w:szCs w:val="24"/>
          <w:lang w:val="tr-TR"/>
        </w:rPr>
        <w:t>Bilindiği üzere eşdeğerler doktrini daha önce AIPPI tarafından 2003 yılında Q175 (“</w:t>
      </w:r>
      <w:proofErr w:type="spellStart"/>
      <w:r w:rsidRPr="00C62DB3">
        <w:rPr>
          <w:rFonts w:cstheme="minorHAnsi"/>
          <w:i/>
          <w:iCs/>
          <w:sz w:val="24"/>
          <w:szCs w:val="24"/>
          <w:lang w:val="tr-TR"/>
        </w:rPr>
        <w:t>The</w:t>
      </w:r>
      <w:proofErr w:type="spellEnd"/>
      <w:r w:rsidRPr="00C62DB3">
        <w:rPr>
          <w:rFonts w:cstheme="minorHAnsi"/>
          <w:i/>
          <w:iCs/>
          <w:sz w:val="24"/>
          <w:szCs w:val="24"/>
          <w:lang w:val="tr-TR"/>
        </w:rPr>
        <w:t xml:space="preserve"> role of </w:t>
      </w:r>
      <w:proofErr w:type="spellStart"/>
      <w:r w:rsidRPr="00C62DB3">
        <w:rPr>
          <w:rFonts w:cstheme="minorHAnsi"/>
          <w:i/>
          <w:iCs/>
          <w:sz w:val="24"/>
          <w:szCs w:val="24"/>
          <w:lang w:val="tr-TR"/>
        </w:rPr>
        <w:t>equivalents</w:t>
      </w:r>
      <w:proofErr w:type="spellEnd"/>
      <w:r w:rsidRPr="00C62DB3">
        <w:rPr>
          <w:rFonts w:cstheme="minorHAnsi"/>
          <w:i/>
          <w:iCs/>
          <w:sz w:val="24"/>
          <w:szCs w:val="24"/>
          <w:lang w:val="tr-TR"/>
        </w:rPr>
        <w:t xml:space="preserve"> and </w:t>
      </w:r>
      <w:proofErr w:type="spellStart"/>
      <w:r w:rsidRPr="00C62DB3">
        <w:rPr>
          <w:rFonts w:cstheme="minorHAnsi"/>
          <w:i/>
          <w:iCs/>
          <w:sz w:val="24"/>
          <w:szCs w:val="24"/>
          <w:lang w:val="tr-TR"/>
        </w:rPr>
        <w:t>prosecution</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history</w:t>
      </w:r>
      <w:proofErr w:type="spellEnd"/>
      <w:r w:rsidRPr="00C62DB3">
        <w:rPr>
          <w:rFonts w:cstheme="minorHAnsi"/>
          <w:i/>
          <w:iCs/>
          <w:sz w:val="24"/>
          <w:szCs w:val="24"/>
          <w:lang w:val="tr-TR"/>
        </w:rPr>
        <w:t xml:space="preserve"> in </w:t>
      </w:r>
      <w:proofErr w:type="spellStart"/>
      <w:r w:rsidRPr="00C62DB3">
        <w:rPr>
          <w:rFonts w:cstheme="minorHAnsi"/>
          <w:i/>
          <w:iCs/>
          <w:sz w:val="24"/>
          <w:szCs w:val="24"/>
          <w:lang w:val="tr-TR"/>
        </w:rPr>
        <w:t>defining</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the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scope</w:t>
      </w:r>
      <w:proofErr w:type="spellEnd"/>
      <w:r w:rsidRPr="00C62DB3">
        <w:rPr>
          <w:rFonts w:cstheme="minorHAnsi"/>
          <w:i/>
          <w:iCs/>
          <w:sz w:val="24"/>
          <w:szCs w:val="24"/>
          <w:lang w:val="tr-TR"/>
        </w:rPr>
        <w:t xml:space="preserve"> of patent </w:t>
      </w:r>
      <w:proofErr w:type="spellStart"/>
      <w:r w:rsidRPr="00C62DB3">
        <w:rPr>
          <w:rFonts w:cstheme="minorHAnsi"/>
          <w:i/>
          <w:iCs/>
          <w:sz w:val="24"/>
          <w:szCs w:val="24"/>
          <w:lang w:val="tr-TR"/>
        </w:rPr>
        <w:t>protection</w:t>
      </w:r>
      <w:proofErr w:type="spellEnd"/>
      <w:r w:rsidRPr="00C62DB3">
        <w:rPr>
          <w:rFonts w:cstheme="minorHAnsi"/>
          <w:sz w:val="24"/>
          <w:szCs w:val="24"/>
          <w:lang w:val="tr-TR"/>
        </w:rPr>
        <w:t>”) ve 2012 yılında Q229 (“</w:t>
      </w:r>
      <w:proofErr w:type="spellStart"/>
      <w:r w:rsidRPr="00C62DB3">
        <w:rPr>
          <w:rFonts w:cstheme="minorHAnsi"/>
          <w:i/>
          <w:iCs/>
          <w:sz w:val="24"/>
          <w:szCs w:val="24"/>
          <w:lang w:val="tr-TR"/>
        </w:rPr>
        <w:t>The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use</w:t>
      </w:r>
      <w:proofErr w:type="spellEnd"/>
      <w:r w:rsidRPr="00C62DB3">
        <w:rPr>
          <w:rFonts w:cstheme="minorHAnsi"/>
          <w:i/>
          <w:iCs/>
          <w:sz w:val="24"/>
          <w:szCs w:val="24"/>
          <w:lang w:val="tr-TR"/>
        </w:rPr>
        <w:t xml:space="preserve"> of </w:t>
      </w:r>
      <w:proofErr w:type="spellStart"/>
      <w:r w:rsidRPr="00C62DB3">
        <w:rPr>
          <w:rFonts w:cstheme="minorHAnsi"/>
          <w:i/>
          <w:iCs/>
          <w:sz w:val="24"/>
          <w:szCs w:val="24"/>
          <w:lang w:val="tr-TR"/>
        </w:rPr>
        <w:t>prosecution</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history</w:t>
      </w:r>
      <w:proofErr w:type="spellEnd"/>
      <w:r w:rsidRPr="00C62DB3">
        <w:rPr>
          <w:rFonts w:cstheme="minorHAnsi"/>
          <w:i/>
          <w:iCs/>
          <w:sz w:val="24"/>
          <w:szCs w:val="24"/>
          <w:lang w:val="tr-TR"/>
        </w:rPr>
        <w:t xml:space="preserve"> in post-</w:t>
      </w:r>
      <w:proofErr w:type="spellStart"/>
      <w:r w:rsidRPr="00C62DB3">
        <w:rPr>
          <w:rFonts w:cstheme="minorHAnsi"/>
          <w:i/>
          <w:iCs/>
          <w:sz w:val="24"/>
          <w:szCs w:val="24"/>
          <w:lang w:val="tr-TR"/>
        </w:rPr>
        <w:t>grant</w:t>
      </w:r>
      <w:proofErr w:type="spellEnd"/>
      <w:r w:rsidRPr="00C62DB3">
        <w:rPr>
          <w:rFonts w:cstheme="minorHAnsi"/>
          <w:i/>
          <w:iCs/>
          <w:sz w:val="24"/>
          <w:szCs w:val="24"/>
          <w:lang w:val="tr-TR"/>
        </w:rPr>
        <w:t xml:space="preserve"> patent </w:t>
      </w:r>
      <w:proofErr w:type="spellStart"/>
      <w:r w:rsidRPr="00C62DB3">
        <w:rPr>
          <w:rFonts w:cstheme="minorHAnsi"/>
          <w:i/>
          <w:iCs/>
          <w:sz w:val="24"/>
          <w:szCs w:val="24"/>
          <w:lang w:val="tr-TR"/>
        </w:rPr>
        <w:t>proceedings</w:t>
      </w:r>
      <w:proofErr w:type="spellEnd"/>
      <w:r w:rsidRPr="00C62DB3">
        <w:rPr>
          <w:rFonts w:cstheme="minorHAnsi"/>
          <w:sz w:val="24"/>
          <w:szCs w:val="24"/>
          <w:lang w:val="tr-TR"/>
        </w:rPr>
        <w:t>”) çalışma konuları kapsamında tartışılmış ve kararlar hazırlanmıştı. 2023 yılındaki eşdeğerler doktrini konulu patent çalışma konusunda ise Q175 ve Q229 kararlarında değerlendirilmeyen konular ele alınmıştır.</w:t>
      </w:r>
    </w:p>
    <w:p w:rsidR="009C6AED" w:rsidRPr="00C62DB3" w:rsidRDefault="009C6AED" w:rsidP="009C6AED">
      <w:pPr>
        <w:spacing w:before="120"/>
        <w:jc w:val="both"/>
        <w:rPr>
          <w:rFonts w:cstheme="minorHAnsi"/>
          <w:sz w:val="24"/>
          <w:szCs w:val="24"/>
          <w:lang w:val="tr-TR"/>
        </w:rPr>
      </w:pPr>
      <w:r w:rsidRPr="00C62DB3">
        <w:rPr>
          <w:rFonts w:cstheme="minorHAnsi"/>
          <w:sz w:val="24"/>
          <w:szCs w:val="24"/>
          <w:lang w:val="tr-TR"/>
        </w:rPr>
        <w:t>Öncelikle belirtmek gerekir ki 2023 yılı patent çalışma konusu görüşmeleri neticesinde eşdeğerler doktrini açısından ülkeler nezdinde bir uyumlaştırmanın istendiği ve beklendiği görüş ve kanaatine varılmıştır.</w:t>
      </w:r>
    </w:p>
    <w:p w:rsidR="009C6AED" w:rsidRPr="00C62DB3" w:rsidRDefault="009C6AED" w:rsidP="009C6AED">
      <w:pPr>
        <w:spacing w:before="120"/>
        <w:jc w:val="both"/>
        <w:rPr>
          <w:rFonts w:cstheme="minorHAnsi"/>
          <w:sz w:val="24"/>
          <w:szCs w:val="24"/>
          <w:lang w:val="tr-TR"/>
        </w:rPr>
      </w:pPr>
      <w:r w:rsidRPr="00C62DB3">
        <w:rPr>
          <w:rFonts w:cstheme="minorHAnsi"/>
          <w:sz w:val="24"/>
          <w:szCs w:val="24"/>
          <w:lang w:val="tr-TR"/>
        </w:rPr>
        <w:t>Bununla birlikte, alınan kararlarda öne çıkan hususları şu şekilde özetleyebiliriz:</w:t>
      </w:r>
    </w:p>
    <w:p w:rsidR="009C6AED" w:rsidRPr="00C62DB3" w:rsidRDefault="009C6AED" w:rsidP="009C6AED">
      <w:pPr>
        <w:numPr>
          <w:ilvl w:val="0"/>
          <w:numId w:val="1"/>
        </w:numPr>
        <w:spacing w:before="120"/>
        <w:jc w:val="both"/>
        <w:rPr>
          <w:rFonts w:cstheme="minorHAnsi"/>
          <w:sz w:val="24"/>
          <w:szCs w:val="24"/>
          <w:lang w:val="tr-TR"/>
        </w:rPr>
      </w:pPr>
      <w:r w:rsidRPr="00C62DB3">
        <w:rPr>
          <w:rFonts w:cstheme="minorHAnsi"/>
          <w:sz w:val="24"/>
          <w:szCs w:val="24"/>
          <w:lang w:val="tr-TR"/>
        </w:rPr>
        <w:t>Eşdeğerlik doktrinine hala ihtiyaç bulunmaktadır.</w:t>
      </w:r>
    </w:p>
    <w:p w:rsidR="009C6AED" w:rsidRPr="00C62DB3" w:rsidRDefault="009C6AED" w:rsidP="009C6AED">
      <w:pPr>
        <w:numPr>
          <w:ilvl w:val="0"/>
          <w:numId w:val="1"/>
        </w:numPr>
        <w:spacing w:before="120"/>
        <w:jc w:val="both"/>
        <w:rPr>
          <w:rFonts w:cstheme="minorHAnsi"/>
          <w:sz w:val="24"/>
          <w:szCs w:val="24"/>
          <w:lang w:val="tr-TR"/>
        </w:rPr>
      </w:pPr>
      <w:r w:rsidRPr="00C62DB3">
        <w:rPr>
          <w:rFonts w:cstheme="minorHAnsi"/>
          <w:sz w:val="24"/>
          <w:szCs w:val="24"/>
          <w:lang w:val="tr-TR"/>
        </w:rPr>
        <w:t xml:space="preserve">Eşdeğerler doktrini üçüncü şahıslar için hukuki kesinliği dikkate almalıdır. </w:t>
      </w:r>
    </w:p>
    <w:p w:rsidR="009C6AED" w:rsidRPr="00C62DB3" w:rsidRDefault="009C6AED" w:rsidP="009C6AED">
      <w:pPr>
        <w:numPr>
          <w:ilvl w:val="0"/>
          <w:numId w:val="1"/>
        </w:numPr>
        <w:spacing w:before="120"/>
        <w:jc w:val="both"/>
        <w:rPr>
          <w:rFonts w:cstheme="minorHAnsi"/>
          <w:sz w:val="24"/>
          <w:szCs w:val="24"/>
          <w:lang w:val="tr-TR"/>
        </w:rPr>
      </w:pPr>
      <w:r w:rsidRPr="00C62DB3">
        <w:rPr>
          <w:rFonts w:cstheme="minorHAnsi"/>
          <w:sz w:val="24"/>
          <w:szCs w:val="24"/>
          <w:lang w:val="tr-TR"/>
        </w:rPr>
        <w:t>Yukarıda da değinilen Q175 kararı bir istisna ile bu yılki kararda da kabul edilmiştir. Q175’teki (4.a) no.lu karar açısından ilgili maddenin aşağıdaki şekilde değiştirilmesi kararlaştırılmıştır. Burada Q175 kararından farklı olarak “</w:t>
      </w:r>
      <w:proofErr w:type="spellStart"/>
      <w:r w:rsidRPr="00C62DB3">
        <w:rPr>
          <w:rFonts w:cstheme="minorHAnsi"/>
          <w:i/>
          <w:iCs/>
          <w:sz w:val="24"/>
          <w:szCs w:val="24"/>
          <w:lang w:val="tr-TR"/>
        </w:rPr>
        <w:t>substantially</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the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same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way</w:t>
      </w:r>
      <w:proofErr w:type="spellEnd"/>
      <w:r w:rsidRPr="00C62DB3">
        <w:rPr>
          <w:rFonts w:cstheme="minorHAnsi"/>
          <w:i/>
          <w:iCs/>
          <w:sz w:val="24"/>
          <w:szCs w:val="24"/>
          <w:lang w:val="tr-TR"/>
        </w:rPr>
        <w:t xml:space="preserve">” (“büyük ölçüde aynı şekilde”) </w:t>
      </w:r>
      <w:r w:rsidRPr="00C62DB3">
        <w:rPr>
          <w:rFonts w:cstheme="minorHAnsi"/>
          <w:sz w:val="24"/>
          <w:szCs w:val="24"/>
          <w:lang w:val="tr-TR"/>
        </w:rPr>
        <w:t>ifadesi maddeye eklenmiştir.</w:t>
      </w:r>
    </w:p>
    <w:p w:rsidR="009C6AED" w:rsidRPr="00C62DB3" w:rsidRDefault="009C6AED" w:rsidP="009C6AED">
      <w:pPr>
        <w:spacing w:before="120"/>
        <w:jc w:val="both"/>
        <w:rPr>
          <w:rFonts w:cstheme="minorHAnsi"/>
          <w:i/>
          <w:iCs/>
          <w:sz w:val="24"/>
          <w:szCs w:val="24"/>
          <w:lang w:val="tr-TR"/>
        </w:rPr>
      </w:pPr>
      <w:r w:rsidRPr="00C62DB3">
        <w:rPr>
          <w:rFonts w:cstheme="minorHAnsi"/>
          <w:i/>
          <w:iCs/>
          <w:sz w:val="24"/>
          <w:szCs w:val="24"/>
          <w:lang w:val="tr-TR"/>
        </w:rPr>
        <w:t>“Bir unsur aşağıdaki durumlarda istemdeki unsurun eşdeğeri olarak kabul edilecektir.</w:t>
      </w:r>
    </w:p>
    <w:p w:rsidR="009C6AED" w:rsidRPr="00C62DB3" w:rsidRDefault="009C6AED" w:rsidP="009C6AED">
      <w:pPr>
        <w:spacing w:before="120"/>
        <w:jc w:val="both"/>
        <w:rPr>
          <w:rFonts w:cstheme="minorHAnsi"/>
          <w:i/>
          <w:iCs/>
          <w:sz w:val="24"/>
          <w:szCs w:val="24"/>
          <w:lang w:val="tr-TR"/>
        </w:rPr>
      </w:pPr>
      <w:r w:rsidRPr="00C62DB3">
        <w:rPr>
          <w:rFonts w:cstheme="minorHAnsi"/>
          <w:i/>
          <w:iCs/>
          <w:sz w:val="24"/>
          <w:szCs w:val="24"/>
          <w:lang w:val="tr-TR"/>
        </w:rPr>
        <w:t>4.a) söz konusu unsurun, istemdeki unsur ile büyük ölçüde aynı sonucu üretmek üzere büyük ölçüde aynı işlevi büyük ölçüde aynı şekilde yerine getirmesi;”</w:t>
      </w:r>
    </w:p>
    <w:p w:rsidR="009C6AED" w:rsidRPr="00C62DB3" w:rsidRDefault="009C6AED" w:rsidP="009C6AED">
      <w:pPr>
        <w:spacing w:before="120"/>
        <w:jc w:val="both"/>
        <w:rPr>
          <w:rFonts w:cstheme="minorHAnsi"/>
          <w:i/>
          <w:iCs/>
          <w:sz w:val="24"/>
          <w:szCs w:val="24"/>
          <w:lang w:val="tr-TR"/>
        </w:rPr>
      </w:pPr>
      <w:r w:rsidRPr="00C62DB3">
        <w:rPr>
          <w:rFonts w:cstheme="minorHAnsi"/>
          <w:i/>
          <w:iCs/>
          <w:sz w:val="24"/>
          <w:szCs w:val="24"/>
          <w:lang w:val="tr-TR"/>
        </w:rPr>
        <w:t xml:space="preserve">(“an element </w:t>
      </w:r>
      <w:proofErr w:type="spellStart"/>
      <w:r w:rsidRPr="00C62DB3">
        <w:rPr>
          <w:rFonts w:cstheme="minorHAnsi"/>
          <w:i/>
          <w:iCs/>
          <w:sz w:val="24"/>
          <w:szCs w:val="24"/>
          <w:lang w:val="tr-TR"/>
        </w:rPr>
        <w:t>shall</w:t>
      </w:r>
      <w:proofErr w:type="spellEnd"/>
      <w:r w:rsidRPr="00C62DB3">
        <w:rPr>
          <w:rFonts w:cstheme="minorHAnsi"/>
          <w:i/>
          <w:iCs/>
          <w:sz w:val="24"/>
          <w:szCs w:val="24"/>
          <w:lang w:val="tr-TR"/>
        </w:rPr>
        <w:t xml:space="preserve"> be </w:t>
      </w:r>
      <w:proofErr w:type="spellStart"/>
      <w:r w:rsidRPr="00C62DB3">
        <w:rPr>
          <w:rFonts w:cstheme="minorHAnsi"/>
          <w:i/>
          <w:iCs/>
          <w:sz w:val="24"/>
          <w:szCs w:val="24"/>
          <w:lang w:val="tr-TR"/>
        </w:rPr>
        <w:t>regarded</w:t>
      </w:r>
      <w:proofErr w:type="spellEnd"/>
      <w:r w:rsidRPr="00C62DB3">
        <w:rPr>
          <w:rFonts w:cstheme="minorHAnsi"/>
          <w:i/>
          <w:iCs/>
          <w:sz w:val="24"/>
          <w:szCs w:val="24"/>
          <w:lang w:val="tr-TR"/>
        </w:rPr>
        <w:t xml:space="preserve"> as </w:t>
      </w:r>
      <w:proofErr w:type="spellStart"/>
      <w:r w:rsidRPr="00C62DB3">
        <w:rPr>
          <w:rFonts w:cstheme="minorHAnsi"/>
          <w:i/>
          <w:iCs/>
          <w:sz w:val="24"/>
          <w:szCs w:val="24"/>
          <w:lang w:val="tr-TR"/>
        </w:rPr>
        <w:t>equivalent</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to</w:t>
      </w:r>
      <w:proofErr w:type="spellEnd"/>
      <w:r w:rsidRPr="00C62DB3">
        <w:rPr>
          <w:rFonts w:cstheme="minorHAnsi"/>
          <w:i/>
          <w:iCs/>
          <w:sz w:val="24"/>
          <w:szCs w:val="24"/>
          <w:lang w:val="tr-TR"/>
        </w:rPr>
        <w:t xml:space="preserve"> an element in a </w:t>
      </w:r>
      <w:proofErr w:type="spellStart"/>
      <w:r w:rsidRPr="00C62DB3">
        <w:rPr>
          <w:rFonts w:cstheme="minorHAnsi"/>
          <w:i/>
          <w:iCs/>
          <w:sz w:val="24"/>
          <w:szCs w:val="24"/>
          <w:lang w:val="tr-TR"/>
        </w:rPr>
        <w:t>claim</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if</w:t>
      </w:r>
      <w:proofErr w:type="spellEnd"/>
      <w:r w:rsidRPr="00C62DB3">
        <w:rPr>
          <w:rFonts w:cstheme="minorHAnsi"/>
          <w:i/>
          <w:iCs/>
          <w:sz w:val="24"/>
          <w:szCs w:val="24"/>
          <w:lang w:val="tr-TR"/>
        </w:rPr>
        <w:t>:</w:t>
      </w:r>
    </w:p>
    <w:p w:rsidR="009C6AED" w:rsidRPr="00C62DB3" w:rsidRDefault="009C6AED" w:rsidP="009C6AED">
      <w:pPr>
        <w:spacing w:before="120"/>
        <w:jc w:val="both"/>
        <w:rPr>
          <w:rFonts w:cstheme="minorHAnsi"/>
          <w:i/>
          <w:iCs/>
          <w:sz w:val="24"/>
          <w:szCs w:val="24"/>
          <w:lang w:val="tr-TR"/>
        </w:rPr>
      </w:pPr>
      <w:r w:rsidRPr="00C62DB3">
        <w:rPr>
          <w:rFonts w:cstheme="minorHAnsi"/>
          <w:i/>
          <w:iCs/>
          <w:sz w:val="24"/>
          <w:szCs w:val="24"/>
          <w:lang w:val="tr-TR"/>
        </w:rPr>
        <w:t>4.a) “</w:t>
      </w:r>
      <w:proofErr w:type="spellStart"/>
      <w:r w:rsidRPr="00C62DB3">
        <w:rPr>
          <w:rFonts w:cstheme="minorHAnsi"/>
          <w:i/>
          <w:iCs/>
          <w:sz w:val="24"/>
          <w:szCs w:val="24"/>
          <w:lang w:val="tr-TR"/>
        </w:rPr>
        <w:t>the</w:t>
      </w:r>
      <w:proofErr w:type="spellEnd"/>
      <w:r w:rsidRPr="00C62DB3">
        <w:rPr>
          <w:rFonts w:cstheme="minorHAnsi"/>
          <w:i/>
          <w:iCs/>
          <w:sz w:val="24"/>
          <w:szCs w:val="24"/>
          <w:lang w:val="tr-TR"/>
        </w:rPr>
        <w:t xml:space="preserve"> element </w:t>
      </w:r>
      <w:proofErr w:type="spellStart"/>
      <w:r w:rsidRPr="00C62DB3">
        <w:rPr>
          <w:rFonts w:cstheme="minorHAnsi"/>
          <w:i/>
          <w:iCs/>
          <w:sz w:val="24"/>
          <w:szCs w:val="24"/>
          <w:lang w:val="tr-TR"/>
        </w:rPr>
        <w:t>under</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consideration</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performs</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substantially</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the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same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function</w:t>
      </w:r>
      <w:proofErr w:type="spellEnd"/>
      <w:r w:rsidRPr="00C62DB3">
        <w:rPr>
          <w:rFonts w:cstheme="minorHAnsi"/>
          <w:i/>
          <w:iCs/>
          <w:sz w:val="24"/>
          <w:szCs w:val="24"/>
          <w:lang w:val="tr-TR"/>
        </w:rPr>
        <w:t xml:space="preserve"> in </w:t>
      </w:r>
      <w:proofErr w:type="spellStart"/>
      <w:r w:rsidRPr="00C62DB3">
        <w:rPr>
          <w:rFonts w:cstheme="minorHAnsi"/>
          <w:i/>
          <w:iCs/>
          <w:sz w:val="24"/>
          <w:szCs w:val="24"/>
          <w:lang w:val="tr-TR"/>
        </w:rPr>
        <w:t>substantially</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the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same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way</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to</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produce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substantially</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the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same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result</w:t>
      </w:r>
      <w:proofErr w:type="spellEnd"/>
      <w:r w:rsidRPr="00C62DB3">
        <w:rPr>
          <w:rFonts w:cstheme="minorHAnsi"/>
          <w:i/>
          <w:iCs/>
          <w:sz w:val="24"/>
          <w:szCs w:val="24"/>
          <w:lang w:val="tr-TR"/>
        </w:rPr>
        <w:t xml:space="preserve"> as </w:t>
      </w:r>
      <w:proofErr w:type="spellStart"/>
      <w:r w:rsidRPr="00C62DB3">
        <w:rPr>
          <w:rFonts w:cstheme="minorHAnsi"/>
          <w:i/>
          <w:iCs/>
          <w:sz w:val="24"/>
          <w:szCs w:val="24"/>
          <w:lang w:val="tr-TR"/>
        </w:rPr>
        <w:t>the</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claimed</w:t>
      </w:r>
      <w:proofErr w:type="spellEnd"/>
      <w:r w:rsidRPr="00C62DB3">
        <w:rPr>
          <w:rFonts w:cstheme="minorHAnsi"/>
          <w:i/>
          <w:iCs/>
          <w:sz w:val="24"/>
          <w:szCs w:val="24"/>
          <w:lang w:val="tr-TR"/>
        </w:rPr>
        <w:t xml:space="preserve"> element.”)</w:t>
      </w:r>
    </w:p>
    <w:p w:rsidR="009C6AED" w:rsidRPr="00C62DB3" w:rsidRDefault="009C6AED" w:rsidP="009C6AED">
      <w:pPr>
        <w:numPr>
          <w:ilvl w:val="0"/>
          <w:numId w:val="1"/>
        </w:numPr>
        <w:spacing w:before="120"/>
        <w:jc w:val="both"/>
        <w:rPr>
          <w:rFonts w:cstheme="minorHAnsi"/>
          <w:sz w:val="24"/>
          <w:szCs w:val="24"/>
          <w:lang w:val="tr-TR"/>
        </w:rPr>
      </w:pPr>
      <w:r w:rsidRPr="00C62DB3">
        <w:rPr>
          <w:rFonts w:cstheme="minorHAnsi"/>
          <w:sz w:val="24"/>
          <w:szCs w:val="24"/>
          <w:lang w:val="tr-TR"/>
        </w:rPr>
        <w:t xml:space="preserve">Tarifnamede istemdeki unsurun alternatifi olarak açıklanan uygulamaların eşdeğer yoluyla patent ihlallerinden mutlaka hariç tutulmaması gerektiği kanaatine varılmıştır. İlgili maddede de bu duruma istisna olarak patent sahibinin önceki tekniğe dayalı itirazları bertaraf etmek </w:t>
      </w:r>
      <w:r w:rsidRPr="00C62DB3">
        <w:rPr>
          <w:rFonts w:cstheme="minorHAnsi"/>
          <w:sz w:val="24"/>
          <w:szCs w:val="24"/>
          <w:lang w:val="tr-TR"/>
        </w:rPr>
        <w:lastRenderedPageBreak/>
        <w:t xml:space="preserve">için açık ve kesin bir şekilde belirtilen eşdeğer unsurları istem kapsamına </w:t>
      </w:r>
      <w:proofErr w:type="gramStart"/>
      <w:r w:rsidRPr="00C62DB3">
        <w:rPr>
          <w:rFonts w:cstheme="minorHAnsi"/>
          <w:sz w:val="24"/>
          <w:szCs w:val="24"/>
          <w:lang w:val="tr-TR"/>
        </w:rPr>
        <w:t>dahil</w:t>
      </w:r>
      <w:proofErr w:type="gramEnd"/>
      <w:r w:rsidRPr="00C62DB3">
        <w:rPr>
          <w:rFonts w:cstheme="minorHAnsi"/>
          <w:sz w:val="24"/>
          <w:szCs w:val="24"/>
          <w:lang w:val="tr-TR"/>
        </w:rPr>
        <w:t xml:space="preserve"> etmemiş olmaması belirtilmiştir.</w:t>
      </w:r>
    </w:p>
    <w:p w:rsidR="009C6AED" w:rsidRPr="00C62DB3" w:rsidRDefault="009C6AED" w:rsidP="009C6AED">
      <w:pPr>
        <w:numPr>
          <w:ilvl w:val="0"/>
          <w:numId w:val="1"/>
        </w:numPr>
        <w:spacing w:before="120"/>
        <w:jc w:val="both"/>
        <w:rPr>
          <w:rFonts w:cstheme="minorHAnsi"/>
          <w:sz w:val="24"/>
          <w:szCs w:val="24"/>
          <w:lang w:val="tr-TR"/>
        </w:rPr>
      </w:pPr>
      <w:r w:rsidRPr="00C62DB3">
        <w:rPr>
          <w:rFonts w:cstheme="minorHAnsi"/>
          <w:sz w:val="24"/>
          <w:szCs w:val="24"/>
          <w:lang w:val="tr-TR"/>
        </w:rPr>
        <w:t xml:space="preserve">Öte yandan, patent başvuruları açısında </w:t>
      </w:r>
      <w:proofErr w:type="spellStart"/>
      <w:r w:rsidRPr="00C62DB3">
        <w:rPr>
          <w:rFonts w:cstheme="minorHAnsi"/>
          <w:sz w:val="24"/>
          <w:szCs w:val="24"/>
          <w:lang w:val="tr-TR"/>
        </w:rPr>
        <w:t>patentlenebilirlik</w:t>
      </w:r>
      <w:proofErr w:type="spellEnd"/>
      <w:r w:rsidRPr="00C62DB3">
        <w:rPr>
          <w:rFonts w:cstheme="minorHAnsi"/>
          <w:sz w:val="24"/>
          <w:szCs w:val="24"/>
          <w:lang w:val="tr-TR"/>
        </w:rPr>
        <w:t xml:space="preserve"> incelemelerinde (kurumlar tarafından yapılacak patentin verilmesinden önceki incelemeler veya sonraki yeniden incelemeler ile verilmesi sırasındaki incelemeler) eşdeğerlik doktrininin uygulanmaması gerektiği görüş ve kanaati bildirilmiştir. </w:t>
      </w:r>
    </w:p>
    <w:p w:rsidR="009C6AED" w:rsidRPr="00C62DB3" w:rsidRDefault="009C6AED" w:rsidP="009C6AED">
      <w:pPr>
        <w:numPr>
          <w:ilvl w:val="0"/>
          <w:numId w:val="1"/>
        </w:numPr>
        <w:spacing w:before="120"/>
        <w:jc w:val="both"/>
        <w:rPr>
          <w:rFonts w:cstheme="minorHAnsi"/>
          <w:sz w:val="24"/>
          <w:szCs w:val="24"/>
          <w:lang w:val="tr-TR"/>
        </w:rPr>
      </w:pPr>
      <w:r w:rsidRPr="00C62DB3">
        <w:rPr>
          <w:rFonts w:cstheme="minorHAnsi"/>
          <w:sz w:val="24"/>
          <w:szCs w:val="24"/>
          <w:lang w:val="tr-TR"/>
        </w:rPr>
        <w:t>Benzer şekilde, patentin geçerliliğine ilişkin değerlendirilmelerde de eşdeğerlik doktrininin uygulanmaması gerektiği de kararda ayrı bir madde olarak belirtilmiştir.</w:t>
      </w:r>
    </w:p>
    <w:p w:rsidR="009C6AED" w:rsidRPr="00C62DB3" w:rsidRDefault="009C6AED" w:rsidP="009C6AED">
      <w:pPr>
        <w:numPr>
          <w:ilvl w:val="0"/>
          <w:numId w:val="1"/>
        </w:numPr>
        <w:spacing w:before="120"/>
        <w:jc w:val="both"/>
        <w:rPr>
          <w:rFonts w:cstheme="minorHAnsi"/>
          <w:sz w:val="24"/>
          <w:szCs w:val="24"/>
          <w:lang w:val="tr-TR"/>
        </w:rPr>
      </w:pPr>
      <w:r w:rsidRPr="00C62DB3">
        <w:rPr>
          <w:rFonts w:cstheme="minorHAnsi"/>
          <w:sz w:val="24"/>
          <w:szCs w:val="24"/>
          <w:lang w:val="tr-TR"/>
        </w:rPr>
        <w:t>Son olarak da bir uygulamanın önceki teknikte açıklanması veya önceki teknikte aşikâr olması durumlarında ise ilgili uygulamanın eşdeğerler doktrini altında ihlal yarattığından söz edilemeyeceğinin de altı çizilmiştir.</w:t>
      </w:r>
    </w:p>
    <w:p w:rsidR="009C6AED" w:rsidRPr="00C62DB3" w:rsidRDefault="009C6AED" w:rsidP="009C6AED">
      <w:pPr>
        <w:spacing w:before="120"/>
        <w:jc w:val="both"/>
        <w:rPr>
          <w:rFonts w:cstheme="minorHAnsi"/>
          <w:sz w:val="24"/>
          <w:szCs w:val="24"/>
          <w:lang w:val="tr-TR"/>
        </w:rPr>
      </w:pPr>
      <w:r w:rsidRPr="00C62DB3">
        <w:rPr>
          <w:rFonts w:cstheme="minorHAnsi"/>
          <w:sz w:val="24"/>
          <w:szCs w:val="24"/>
          <w:lang w:val="tr-TR"/>
        </w:rPr>
        <w:t xml:space="preserve">Eşdeğerlik doktrini patent hukukunun en tartışmalı konularından biri olmakla ileriki yıllarda da tekrar bir çalışma konusunda gündeme getirilmesi muhtemeldir ve gelişen teknolojiler karşısında eşdeğerlik doktrinine yaklaşımın nasıl </w:t>
      </w:r>
      <w:proofErr w:type="spellStart"/>
      <w:r w:rsidRPr="00C62DB3">
        <w:rPr>
          <w:rFonts w:cstheme="minorHAnsi"/>
          <w:sz w:val="24"/>
          <w:szCs w:val="24"/>
          <w:lang w:val="tr-TR"/>
        </w:rPr>
        <w:t>evrileceği</w:t>
      </w:r>
      <w:proofErr w:type="spellEnd"/>
      <w:r w:rsidRPr="00C62DB3">
        <w:rPr>
          <w:rFonts w:cstheme="minorHAnsi"/>
          <w:sz w:val="24"/>
          <w:szCs w:val="24"/>
          <w:lang w:val="tr-TR"/>
        </w:rPr>
        <w:t xml:space="preserve"> hala merak konusu olmaya devam etmektedir.</w:t>
      </w:r>
    </w:p>
    <w:p w:rsidR="009C6AED" w:rsidRPr="00C62DB3" w:rsidRDefault="009C6AED" w:rsidP="009C6AED">
      <w:pPr>
        <w:spacing w:before="120"/>
        <w:rPr>
          <w:rFonts w:cstheme="minorHAnsi"/>
          <w:b/>
          <w:bCs/>
          <w:iCs/>
          <w:sz w:val="24"/>
          <w:szCs w:val="24"/>
          <w:lang w:val="tr-TR"/>
        </w:rPr>
      </w:pPr>
      <w:r w:rsidRPr="00C62DB3">
        <w:rPr>
          <w:rFonts w:cstheme="minorHAnsi"/>
          <w:b/>
          <w:bCs/>
          <w:iCs/>
          <w:sz w:val="24"/>
          <w:szCs w:val="24"/>
          <w:lang w:val="tr-TR"/>
        </w:rPr>
        <w:t>*</w:t>
      </w:r>
      <w:r w:rsidRPr="00C62DB3">
        <w:rPr>
          <w:rFonts w:eastAsia="Times New Roman" w:cstheme="minorHAnsi"/>
          <w:i/>
          <w:iCs/>
          <w:color w:val="242424"/>
          <w:sz w:val="24"/>
          <w:szCs w:val="24"/>
          <w:bdr w:val="none" w:sz="0" w:space="0" w:color="auto" w:frame="1"/>
          <w:lang w:val="tr-TR"/>
        </w:rPr>
        <w:t xml:space="preserve"> </w:t>
      </w:r>
      <w:r w:rsidRPr="00C62DB3">
        <w:rPr>
          <w:rFonts w:eastAsia="Times New Roman" w:cstheme="minorHAnsi"/>
          <w:b/>
          <w:i/>
          <w:iCs/>
          <w:color w:val="242424"/>
          <w:sz w:val="24"/>
          <w:szCs w:val="24"/>
          <w:bdr w:val="none" w:sz="0" w:space="0" w:color="auto" w:frame="1"/>
          <w:lang w:val="tr-TR"/>
        </w:rPr>
        <w:t xml:space="preserve">Kıdemli </w:t>
      </w:r>
      <w:r w:rsidRPr="00C62DB3">
        <w:rPr>
          <w:rFonts w:cstheme="minorHAnsi"/>
          <w:b/>
          <w:bCs/>
          <w:i/>
          <w:iCs/>
          <w:sz w:val="24"/>
          <w:szCs w:val="24"/>
          <w:lang w:val="tr-TR"/>
        </w:rPr>
        <w:t xml:space="preserve">Avukat, Deriş Avukatlık Ortaklığı, </w:t>
      </w:r>
      <w:hyperlink r:id="rId5" w:history="1">
        <w:r w:rsidRPr="00C62DB3">
          <w:rPr>
            <w:rStyle w:val="Kpr"/>
            <w:rFonts w:cstheme="minorHAnsi"/>
            <w:b/>
            <w:bCs/>
            <w:i/>
            <w:iCs/>
            <w:sz w:val="24"/>
            <w:szCs w:val="24"/>
            <w:lang w:val="tr-TR"/>
          </w:rPr>
          <w:t>elif.arabacioglu@deris.com</w:t>
        </w:r>
      </w:hyperlink>
      <w:r w:rsidRPr="00C62DB3">
        <w:rPr>
          <w:rFonts w:cstheme="minorHAnsi"/>
          <w:b/>
          <w:bCs/>
          <w:i/>
          <w:iCs/>
          <w:sz w:val="24"/>
          <w:szCs w:val="24"/>
          <w:lang w:val="tr-TR"/>
        </w:rPr>
        <w:t xml:space="preserve"> </w:t>
      </w:r>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A3B5C"/>
    <w:multiLevelType w:val="hybridMultilevel"/>
    <w:tmpl w:val="AD4248A0"/>
    <w:lvl w:ilvl="0" w:tplc="98D6DE4C">
      <w:start w:val="202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AED"/>
    <w:rsid w:val="00164C4B"/>
    <w:rsid w:val="009C6AED"/>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1171B8-A533-48DE-B366-43C190C3D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AE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9C6A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lif.arabacioglu@deri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3380</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2024-02-13T12:24:00Z</dcterms:created>
  <dcterms:modified xsi:type="dcterms:W3CDTF">2024-02-13T12:24:00Z</dcterms:modified>
</cp:coreProperties>
</file>