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54E" w:rsidRPr="004A50FF" w:rsidRDefault="00FD354E" w:rsidP="00FD354E">
      <w:pPr>
        <w:spacing w:before="120" w:after="120" w:line="264" w:lineRule="auto"/>
        <w:jc w:val="right"/>
        <w:rPr>
          <w:rFonts w:cstheme="minorHAnsi"/>
          <w:b/>
          <w:bCs/>
          <w:iCs/>
          <w:sz w:val="24"/>
          <w:szCs w:val="24"/>
          <w:lang w:val="tr-TR"/>
        </w:rPr>
      </w:pPr>
      <w:r w:rsidRPr="004A50FF">
        <w:rPr>
          <w:rFonts w:cstheme="minorHAnsi"/>
          <w:b/>
          <w:sz w:val="24"/>
          <w:szCs w:val="24"/>
          <w:lang w:val="tr-TR"/>
        </w:rPr>
        <w:t xml:space="preserve">Ender </w:t>
      </w:r>
      <w:proofErr w:type="spellStart"/>
      <w:r w:rsidRPr="004A50FF">
        <w:rPr>
          <w:rFonts w:cstheme="minorHAnsi"/>
          <w:b/>
          <w:sz w:val="24"/>
          <w:szCs w:val="24"/>
          <w:lang w:val="tr-TR"/>
        </w:rPr>
        <w:t>Erkarataş</w:t>
      </w:r>
      <w:proofErr w:type="spellEnd"/>
      <w:r w:rsidRPr="004A50FF">
        <w:rPr>
          <w:rFonts w:cstheme="minorHAnsi"/>
          <w:b/>
          <w:bCs/>
          <w:iCs/>
          <w:sz w:val="24"/>
          <w:szCs w:val="24"/>
          <w:lang w:val="tr-TR"/>
        </w:rPr>
        <w:t xml:space="preserve">* </w:t>
      </w:r>
    </w:p>
    <w:p w:rsidR="00FD354E" w:rsidRPr="004A50FF" w:rsidRDefault="00FD354E" w:rsidP="00FD354E">
      <w:pPr>
        <w:spacing w:before="120" w:after="120" w:line="264" w:lineRule="auto"/>
        <w:jc w:val="right"/>
        <w:rPr>
          <w:rFonts w:cstheme="minorHAnsi"/>
          <w:b/>
          <w:bCs/>
          <w:i/>
          <w:iCs/>
          <w:sz w:val="24"/>
          <w:szCs w:val="24"/>
          <w:lang w:val="tr-TR"/>
        </w:rPr>
      </w:pPr>
      <w:r w:rsidRPr="004A50FF">
        <w:rPr>
          <w:rFonts w:cstheme="minorHAnsi"/>
          <w:b/>
          <w:bCs/>
          <w:i/>
          <w:iCs/>
          <w:sz w:val="24"/>
          <w:szCs w:val="24"/>
          <w:lang w:val="tr-TR"/>
        </w:rPr>
        <w:t xml:space="preserve">AIPPI Türkiye / Fikri Mülkiyet Hakları Koruma </w:t>
      </w:r>
      <w:proofErr w:type="spellStart"/>
      <w:r w:rsidRPr="004A50FF">
        <w:rPr>
          <w:rFonts w:cstheme="minorHAnsi"/>
          <w:b/>
          <w:bCs/>
          <w:i/>
          <w:iCs/>
          <w:sz w:val="24"/>
          <w:szCs w:val="24"/>
          <w:lang w:val="tr-TR"/>
        </w:rPr>
        <w:t>Derneği</w:t>
      </w:r>
      <w:proofErr w:type="spellEnd"/>
      <w:r w:rsidRPr="004A50FF">
        <w:rPr>
          <w:rFonts w:cstheme="minorHAnsi"/>
          <w:b/>
          <w:bCs/>
          <w:i/>
          <w:iCs/>
          <w:sz w:val="24"/>
          <w:szCs w:val="24"/>
          <w:lang w:val="tr-TR"/>
        </w:rPr>
        <w:t xml:space="preserve"> Üyesi</w:t>
      </w:r>
    </w:p>
    <w:p w:rsidR="00FD354E" w:rsidRPr="00241592" w:rsidRDefault="00FD354E" w:rsidP="00FD354E">
      <w:pPr>
        <w:spacing w:before="120" w:after="120" w:line="264" w:lineRule="auto"/>
        <w:jc w:val="center"/>
        <w:rPr>
          <w:rFonts w:eastAsia="Times New Roman" w:cstheme="minorHAnsi"/>
          <w:b/>
          <w:bCs/>
          <w:sz w:val="26"/>
          <w:szCs w:val="26"/>
          <w:lang w:val="tr-TR" w:eastAsia="tr-TR"/>
        </w:rPr>
      </w:pPr>
      <w:bookmarkStart w:id="0" w:name="_GoBack"/>
      <w:r w:rsidRPr="00241592">
        <w:rPr>
          <w:rFonts w:eastAsia="Times New Roman" w:cstheme="minorHAnsi"/>
          <w:b/>
          <w:bCs/>
          <w:sz w:val="26"/>
          <w:szCs w:val="26"/>
          <w:lang w:val="tr-TR" w:eastAsia="tr-TR"/>
        </w:rPr>
        <w:t>Türkiye Tasarım Başvuruları Hakkında Küçük Bir İnceleme</w:t>
      </w:r>
    </w:p>
    <w:bookmarkEnd w:id="0"/>
    <w:p w:rsidR="00FD354E" w:rsidRPr="004A50FF" w:rsidRDefault="00FD354E" w:rsidP="00FD354E">
      <w:pPr>
        <w:tabs>
          <w:tab w:val="left" w:pos="1170"/>
        </w:tabs>
        <w:spacing w:before="120" w:after="120" w:line="264" w:lineRule="auto"/>
        <w:jc w:val="both"/>
        <w:rPr>
          <w:rFonts w:cstheme="minorHAnsi"/>
          <w:sz w:val="24"/>
          <w:szCs w:val="24"/>
          <w:lang w:val="tr-TR"/>
        </w:rPr>
      </w:pPr>
      <w:r w:rsidRPr="004A50FF">
        <w:rPr>
          <w:rFonts w:cstheme="minorHAnsi"/>
          <w:sz w:val="24"/>
          <w:szCs w:val="24"/>
          <w:lang w:val="tr-TR"/>
        </w:rPr>
        <w:t xml:space="preserve">Tasarım, fikri mülkiyet haklarından sınai mülkiyet başlığı altına giren bir mülkiyet hakkıdır. Türk Patent ve Marka Kurumu’na ait Tasarım İnceleme Kılavuzu’na baktığımızda tasarım tanımının </w:t>
      </w:r>
      <w:r w:rsidRPr="004A50FF">
        <w:rPr>
          <w:rFonts w:cstheme="minorHAnsi"/>
          <w:i/>
          <w:iCs/>
          <w:sz w:val="24"/>
          <w:szCs w:val="24"/>
          <w:lang w:val="tr-TR"/>
        </w:rPr>
        <w:t>“ürünün tümü veya bir parçasının ya da üzerindeki süslemenin, çizgi, şekil, biçim, renk, malzeme veya yüzey dokusu gibi özelliklerinden kaynaklanan görünümüdür (SMK Madde 55(1))”</w:t>
      </w:r>
      <w:r w:rsidRPr="004A50FF">
        <w:rPr>
          <w:rFonts w:cstheme="minorHAnsi"/>
          <w:sz w:val="24"/>
          <w:szCs w:val="24"/>
          <w:lang w:val="tr-TR"/>
        </w:rPr>
        <w:t xml:space="preserve"> olduğunu görüyoruz (1). İki veya üç boyutlu ürünlerin bütünü veya ürünün parçasıyla ilgili görünüm olarak kısaca tarif edilebilir.</w:t>
      </w:r>
    </w:p>
    <w:p w:rsidR="00FD354E" w:rsidRPr="004A50FF" w:rsidRDefault="00FD354E" w:rsidP="00FD354E">
      <w:pPr>
        <w:tabs>
          <w:tab w:val="left" w:pos="1170"/>
        </w:tabs>
        <w:spacing w:before="120" w:after="120" w:line="264" w:lineRule="auto"/>
        <w:jc w:val="both"/>
        <w:rPr>
          <w:rFonts w:cstheme="minorHAnsi"/>
          <w:sz w:val="24"/>
          <w:szCs w:val="24"/>
          <w:lang w:val="tr-TR"/>
        </w:rPr>
      </w:pPr>
      <w:r w:rsidRPr="004A50FF">
        <w:rPr>
          <w:rFonts w:cstheme="minorHAnsi"/>
          <w:sz w:val="24"/>
          <w:szCs w:val="24"/>
          <w:lang w:val="tr-TR"/>
        </w:rPr>
        <w:t xml:space="preserve">6769 </w:t>
      </w:r>
      <w:proofErr w:type="spellStart"/>
      <w:r w:rsidRPr="004A50FF">
        <w:rPr>
          <w:rFonts w:cstheme="minorHAnsi"/>
          <w:sz w:val="24"/>
          <w:szCs w:val="24"/>
          <w:lang w:val="tr-TR"/>
        </w:rPr>
        <w:t>SMK’ye</w:t>
      </w:r>
      <w:proofErr w:type="spellEnd"/>
      <w:r w:rsidRPr="004A50FF">
        <w:rPr>
          <w:rFonts w:cstheme="minorHAnsi"/>
          <w:sz w:val="24"/>
          <w:szCs w:val="24"/>
          <w:lang w:val="tr-TR"/>
        </w:rPr>
        <w:t xml:space="preserve"> göre tescilli tasarım için başvuru veya rüçhan tarihinden önce, tescilsiz tasarım için tasarımın kamuya ilk sunulduğu tarihten önce, dünyanın herhangi bir yerinde kamuya sunulmamış ise o tasarım yeni kabul edilmektedir. </w:t>
      </w:r>
      <w:proofErr w:type="gramStart"/>
      <w:r w:rsidRPr="004A50FF">
        <w:rPr>
          <w:rFonts w:cstheme="minorHAnsi"/>
          <w:sz w:val="24"/>
          <w:szCs w:val="24"/>
          <w:lang w:val="tr-TR"/>
        </w:rPr>
        <w:t xml:space="preserve">Bununla birlikte bir tasarımın bilgilenmiş kullanıcı üzerinde bıraktığı genel izlenim, tescilli tasarım için başvuru veya rüçhan tarihinden önce, tescilsiz tasarım için tasarımın kamuya ilk sunulduğu tarihten önce, kamuya sunulmuş herhangi bir tasarımın aynı kullanıcı üzerinde yarattığı genel izlenimden farklı ise bu tasarımın ayırt edici niteliğe sahip olduğu da kabul edilir (2). </w:t>
      </w:r>
      <w:proofErr w:type="gramEnd"/>
      <w:r w:rsidRPr="004A50FF">
        <w:rPr>
          <w:rFonts w:cstheme="minorHAnsi"/>
          <w:sz w:val="24"/>
          <w:szCs w:val="24"/>
          <w:lang w:val="tr-TR"/>
        </w:rPr>
        <w:t>Kısaca, bir tasarımın korunabilmesi için yeni ve ayırt edici niteliğe sahip olması şartı aranmaktadır.</w:t>
      </w:r>
    </w:p>
    <w:p w:rsidR="00FD354E" w:rsidRPr="004A50FF" w:rsidRDefault="00FD354E" w:rsidP="00FD354E">
      <w:pPr>
        <w:tabs>
          <w:tab w:val="left" w:pos="1170"/>
        </w:tabs>
        <w:spacing w:before="120" w:after="120" w:line="264" w:lineRule="auto"/>
        <w:jc w:val="both"/>
        <w:rPr>
          <w:rFonts w:cstheme="minorHAnsi"/>
          <w:sz w:val="24"/>
          <w:szCs w:val="24"/>
          <w:lang w:val="tr-TR"/>
        </w:rPr>
      </w:pPr>
      <w:r w:rsidRPr="004A50FF">
        <w:rPr>
          <w:rFonts w:cstheme="minorHAnsi"/>
          <w:sz w:val="24"/>
          <w:szCs w:val="24"/>
          <w:lang w:val="tr-TR"/>
        </w:rPr>
        <w:t>Genel olarak sınai mülkiyet haklarının sahip oldukları özellikleri tasarımlar için de sayabiliriz. Bu özellikler; mutlak, soyut, süreli hak olması, ülkesel korumanın söz konusu olması, tescilli ve koşulları var ise tescilsiz koruma ile her türlü kullanma, yararlanma ve tasarruf hakkının hak sahibine ait olmasıdır.</w:t>
      </w:r>
      <w:r w:rsidRPr="004A50FF">
        <w:rPr>
          <w:rStyle w:val="AklamaBavurusu"/>
          <w:rFonts w:eastAsiaTheme="minorEastAsia"/>
          <w:sz w:val="24"/>
          <w:szCs w:val="24"/>
          <w:lang w:eastAsia="zh-CN"/>
        </w:rPr>
        <w:t xml:space="preserve"> </w:t>
      </w:r>
      <w:r w:rsidRPr="004A50FF">
        <w:rPr>
          <w:rFonts w:cstheme="minorHAnsi"/>
          <w:sz w:val="24"/>
          <w:szCs w:val="24"/>
          <w:lang w:val="tr-TR"/>
        </w:rPr>
        <w:t xml:space="preserve"> Bununla birlikte, tasarım tescili sahibi olmanın hak sahibine sağladığı birçok avantaj vardır. Mutlak hakkın sağladığı avantajın yanı sıra hak sahibine olası ihlâl durumlarında hukuki yaptırım gücü de sağlamaktadır. Sahip olunan maddi olmayan varlıklar </w:t>
      </w:r>
      <w:proofErr w:type="gramStart"/>
      <w:r w:rsidRPr="004A50FF">
        <w:rPr>
          <w:rFonts w:cstheme="minorHAnsi"/>
          <w:sz w:val="24"/>
          <w:szCs w:val="24"/>
          <w:lang w:val="tr-TR"/>
        </w:rPr>
        <w:t>dahilinde</w:t>
      </w:r>
      <w:proofErr w:type="gramEnd"/>
      <w:r w:rsidRPr="004A50FF">
        <w:rPr>
          <w:rFonts w:cstheme="minorHAnsi"/>
          <w:sz w:val="24"/>
          <w:szCs w:val="24"/>
          <w:lang w:val="tr-TR"/>
        </w:rPr>
        <w:t xml:space="preserve"> bir yatırım aracı, rekabet gücü sağlayan bir hak, kişi veya firmanın imajına pozitif katkı, kendi kullanımının yanında kullandırma ile lisanslama vb. ile ticarileştirme imkânı sağlayan bir sınai hak olarak birçok avantajı daha sayabiliriz. Sınai mülkiyet hakları Anayasa ile korunan temel haklardan olup Türkiye'deki ulusal kapsamdaki son yasal gelişme olarak 6769 Sayılı Sınai Mülkiyet Kanunu’nu kabul edebiliriz. 6769 sayılı Sınai Mülkiyet Kanunu, 10 Ocak 2017 tarihinde, birtakım yasal sıkıntıları ve boşlukları kapatmak ve daha kapsamlı, etkin bir sınai mülkiyet sistemi oluşturmak adına marka, patent, tasarım ve coğrafi işaretler için ayrı düzenlenen kanun hükmünde kararnamelerin yerine tek bir kanun olarak yürürlüğe girmiştir.</w:t>
      </w:r>
    </w:p>
    <w:p w:rsidR="00FD354E" w:rsidRPr="004A50FF" w:rsidRDefault="00FD354E" w:rsidP="00FD354E">
      <w:pPr>
        <w:spacing w:before="120" w:after="120" w:line="264" w:lineRule="auto"/>
        <w:rPr>
          <w:rFonts w:eastAsia="Times New Roman" w:cstheme="minorHAnsi"/>
          <w:b/>
          <w:bCs/>
          <w:sz w:val="24"/>
          <w:szCs w:val="24"/>
          <w:lang w:val="tr-TR" w:eastAsia="tr-TR"/>
        </w:rPr>
      </w:pPr>
      <w:r w:rsidRPr="004A50FF">
        <w:rPr>
          <w:rFonts w:eastAsia="Times New Roman" w:cstheme="minorHAnsi"/>
          <w:b/>
          <w:bCs/>
          <w:sz w:val="24"/>
          <w:szCs w:val="24"/>
          <w:lang w:val="tr-TR" w:eastAsia="tr-TR"/>
        </w:rPr>
        <w:t>Tasarım Başvuru Sayıları</w:t>
      </w:r>
    </w:p>
    <w:p w:rsidR="00FD354E" w:rsidRPr="004A50FF" w:rsidRDefault="00FD354E" w:rsidP="00FD354E">
      <w:pPr>
        <w:tabs>
          <w:tab w:val="left" w:pos="1170"/>
        </w:tabs>
        <w:spacing w:before="120" w:after="120" w:line="264" w:lineRule="auto"/>
        <w:jc w:val="both"/>
        <w:rPr>
          <w:rFonts w:cstheme="minorHAnsi"/>
          <w:sz w:val="24"/>
          <w:szCs w:val="24"/>
          <w:lang w:val="tr-TR"/>
        </w:rPr>
      </w:pPr>
      <w:r w:rsidRPr="004A50FF">
        <w:rPr>
          <w:rFonts w:cstheme="minorHAnsi"/>
          <w:sz w:val="24"/>
          <w:szCs w:val="24"/>
          <w:lang w:val="tr-TR"/>
        </w:rPr>
        <w:t xml:space="preserve">1996–2021 yılları arasında Türk Patent ve Marka Kurumu’nda gerçekleştirilen yıllık </w:t>
      </w:r>
      <w:proofErr w:type="gramStart"/>
      <w:r w:rsidRPr="004A50FF">
        <w:rPr>
          <w:rFonts w:cstheme="minorHAnsi"/>
          <w:sz w:val="24"/>
          <w:szCs w:val="24"/>
          <w:lang w:val="tr-TR"/>
        </w:rPr>
        <w:t>bazdaki</w:t>
      </w:r>
      <w:proofErr w:type="gramEnd"/>
      <w:r w:rsidRPr="004A50FF">
        <w:rPr>
          <w:rFonts w:cstheme="minorHAnsi"/>
          <w:sz w:val="24"/>
          <w:szCs w:val="24"/>
          <w:lang w:val="tr-TR"/>
        </w:rPr>
        <w:t xml:space="preserve"> tasarım başvuruları grafiği aşağıdaki gibidir.</w:t>
      </w:r>
    </w:p>
    <w:p w:rsidR="00FD354E" w:rsidRPr="00241592" w:rsidRDefault="00FD354E" w:rsidP="00FD354E">
      <w:pPr>
        <w:tabs>
          <w:tab w:val="left" w:pos="1170"/>
        </w:tabs>
        <w:spacing w:before="120" w:after="120" w:line="264" w:lineRule="auto"/>
        <w:jc w:val="both"/>
        <w:rPr>
          <w:rFonts w:cstheme="minorHAnsi"/>
          <w:lang w:val="tr-TR"/>
        </w:rPr>
      </w:pPr>
    </w:p>
    <w:p w:rsidR="00FD354E" w:rsidRPr="00241592" w:rsidRDefault="00FD354E" w:rsidP="00FD354E">
      <w:pPr>
        <w:tabs>
          <w:tab w:val="left" w:pos="1170"/>
        </w:tabs>
        <w:spacing w:before="120" w:after="120" w:line="264" w:lineRule="auto"/>
        <w:jc w:val="center"/>
        <w:rPr>
          <w:rFonts w:cstheme="minorHAnsi"/>
          <w:lang w:val="tr-TR"/>
        </w:rPr>
      </w:pPr>
      <w:r w:rsidRPr="00241592">
        <w:rPr>
          <w:rFonts w:cstheme="minorHAnsi"/>
          <w:noProof/>
        </w:rPr>
        <w:lastRenderedPageBreak/>
        <w:drawing>
          <wp:inline distT="0" distB="0" distL="0" distR="0" wp14:anchorId="2A079CC4" wp14:editId="0115D576">
            <wp:extent cx="5448300" cy="2689860"/>
            <wp:effectExtent l="0" t="0" r="0" b="0"/>
            <wp:docPr id="5" name="Grafik 5">
              <a:extLst xmlns:a="http://schemas.openxmlformats.org/drawingml/2006/main">
                <a:ext uri="{FF2B5EF4-FFF2-40B4-BE49-F238E27FC236}">
                  <a16:creationId xmlns:a16="http://schemas.microsoft.com/office/drawing/2014/main" id="{7A8BD418-49A7-5B74-197A-9E5582866D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FD354E" w:rsidRPr="004A50FF" w:rsidRDefault="00FD354E" w:rsidP="00FD354E">
      <w:pPr>
        <w:shd w:val="clear" w:color="auto" w:fill="FFFFFF"/>
        <w:spacing w:before="120" w:after="120" w:line="264" w:lineRule="auto"/>
        <w:jc w:val="center"/>
        <w:outlineLvl w:val="2"/>
        <w:rPr>
          <w:rFonts w:eastAsia="Times New Roman" w:cstheme="minorHAnsi"/>
          <w:color w:val="000000"/>
          <w:sz w:val="20"/>
          <w:szCs w:val="20"/>
          <w:lang w:val="tr-TR"/>
        </w:rPr>
      </w:pPr>
      <w:bookmarkStart w:id="1" w:name="_Hlk70344335"/>
      <w:r w:rsidRPr="004A50FF">
        <w:rPr>
          <w:rFonts w:eastAsia="Times New Roman" w:cstheme="minorHAnsi"/>
          <w:color w:val="000000"/>
          <w:sz w:val="20"/>
          <w:szCs w:val="20"/>
          <w:lang w:val="tr-TR"/>
        </w:rPr>
        <w:t>Türkiye’de Yıllara Göre Tasarım Başvuru Sayıları (3)</w:t>
      </w:r>
    </w:p>
    <w:p w:rsidR="00FD354E" w:rsidRPr="00241592" w:rsidRDefault="00FD354E" w:rsidP="00FD354E">
      <w:pPr>
        <w:shd w:val="clear" w:color="auto" w:fill="FFFFFF"/>
        <w:spacing w:before="120" w:after="120" w:line="264" w:lineRule="auto"/>
        <w:jc w:val="center"/>
        <w:outlineLvl w:val="2"/>
        <w:rPr>
          <w:rFonts w:eastAsia="Times New Roman" w:cstheme="minorHAnsi"/>
          <w:color w:val="000000"/>
          <w:lang w:val="tr-TR"/>
        </w:rPr>
      </w:pPr>
    </w:p>
    <w:bookmarkEnd w:id="1"/>
    <w:p w:rsidR="00FD354E" w:rsidRPr="004A50FF" w:rsidRDefault="00FD354E" w:rsidP="00FD354E">
      <w:pPr>
        <w:tabs>
          <w:tab w:val="left" w:pos="1170"/>
        </w:tabs>
        <w:spacing w:before="120" w:after="120" w:line="264" w:lineRule="auto"/>
        <w:jc w:val="both"/>
        <w:rPr>
          <w:rFonts w:cstheme="minorHAnsi"/>
          <w:sz w:val="24"/>
          <w:szCs w:val="24"/>
          <w:lang w:val="tr-TR"/>
        </w:rPr>
      </w:pPr>
      <w:r w:rsidRPr="004A50FF">
        <w:rPr>
          <w:rFonts w:cstheme="minorHAnsi"/>
          <w:sz w:val="24"/>
          <w:szCs w:val="24"/>
          <w:lang w:val="tr-TR"/>
        </w:rPr>
        <w:t xml:space="preserve">Tasarım başvuru grafiğine baktığımızda genel olarak yükselen bir </w:t>
      </w:r>
      <w:proofErr w:type="gramStart"/>
      <w:r w:rsidRPr="004A50FF">
        <w:rPr>
          <w:rFonts w:cstheme="minorHAnsi"/>
          <w:sz w:val="24"/>
          <w:szCs w:val="24"/>
          <w:lang w:val="tr-TR"/>
        </w:rPr>
        <w:t>trendden</w:t>
      </w:r>
      <w:proofErr w:type="gramEnd"/>
      <w:r w:rsidRPr="004A50FF">
        <w:rPr>
          <w:rFonts w:cstheme="minorHAnsi"/>
          <w:sz w:val="24"/>
          <w:szCs w:val="24"/>
          <w:lang w:val="tr-TR"/>
        </w:rPr>
        <w:t xml:space="preserve"> söz edebiliriz. Buna karşın kriz vb. dönemlerde genel olarak fikri mülkiyet haklarındaki azalan başvuru durumu tasarım başvuruları için de geçerli görünmektedir. 1999, 2009, 2014, 2015 ve 2018 yıllarında başvuruların düşüş yaşadığını görüyoruz. Bunun yanı sıra bir önemli nokta ise 2021 yılında 65.915 başvuru ile 60 bin barajının aşılmış olmasıdır.</w:t>
      </w:r>
    </w:p>
    <w:p w:rsidR="00FD354E" w:rsidRPr="00241592" w:rsidRDefault="00FD354E" w:rsidP="00FD354E">
      <w:pPr>
        <w:spacing w:before="120" w:after="120" w:line="264" w:lineRule="auto"/>
        <w:rPr>
          <w:rFonts w:cstheme="minorHAnsi"/>
          <w:lang w:val="tr-TR"/>
        </w:rPr>
      </w:pPr>
    </w:p>
    <w:p w:rsidR="00FD354E" w:rsidRPr="00241592" w:rsidRDefault="00FD354E" w:rsidP="00FD354E">
      <w:pPr>
        <w:tabs>
          <w:tab w:val="left" w:pos="1170"/>
        </w:tabs>
        <w:spacing w:before="120" w:after="120" w:line="264" w:lineRule="auto"/>
        <w:jc w:val="center"/>
        <w:rPr>
          <w:rFonts w:cstheme="minorHAnsi"/>
          <w:lang w:val="tr-TR"/>
        </w:rPr>
      </w:pPr>
      <w:r w:rsidRPr="00241592">
        <w:rPr>
          <w:rFonts w:cstheme="minorHAnsi"/>
          <w:noProof/>
        </w:rPr>
        <w:drawing>
          <wp:inline distT="0" distB="0" distL="0" distR="0" wp14:anchorId="145462A3" wp14:editId="0458BD18">
            <wp:extent cx="4689764" cy="1801091"/>
            <wp:effectExtent l="0" t="0" r="0" b="8890"/>
            <wp:docPr id="11" name="Grafik 11">
              <a:extLst xmlns:a="http://schemas.openxmlformats.org/drawingml/2006/main">
                <a:ext uri="{FF2B5EF4-FFF2-40B4-BE49-F238E27FC236}">
                  <a16:creationId xmlns:a16="http://schemas.microsoft.com/office/drawing/2014/main" id="{929A2846-6936-9067-6607-AD2CAFF576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D354E" w:rsidRPr="0090402D" w:rsidRDefault="00FD354E" w:rsidP="00FD354E">
      <w:pPr>
        <w:shd w:val="clear" w:color="auto" w:fill="FFFFFF"/>
        <w:spacing w:before="120" w:after="120" w:line="264" w:lineRule="auto"/>
        <w:jc w:val="center"/>
        <w:outlineLvl w:val="2"/>
        <w:rPr>
          <w:rFonts w:eastAsia="Times New Roman" w:cstheme="minorHAnsi"/>
          <w:color w:val="000000"/>
          <w:sz w:val="20"/>
          <w:szCs w:val="20"/>
          <w:lang w:val="tr-TR"/>
        </w:rPr>
      </w:pPr>
      <w:r w:rsidRPr="0090402D">
        <w:rPr>
          <w:rFonts w:eastAsia="Times New Roman" w:cstheme="minorHAnsi"/>
          <w:color w:val="000000"/>
          <w:sz w:val="20"/>
          <w:szCs w:val="20"/>
          <w:lang w:val="tr-TR"/>
        </w:rPr>
        <w:t>Tasarım Başvuru Sayıları – İlk 5 İl (3)</w:t>
      </w:r>
    </w:p>
    <w:p w:rsidR="00FD354E" w:rsidRPr="00241592" w:rsidRDefault="00FD354E" w:rsidP="00FD354E">
      <w:pPr>
        <w:shd w:val="clear" w:color="auto" w:fill="FFFFFF"/>
        <w:spacing w:before="120" w:after="120" w:line="264" w:lineRule="auto"/>
        <w:jc w:val="center"/>
        <w:outlineLvl w:val="2"/>
        <w:rPr>
          <w:rFonts w:eastAsia="Times New Roman" w:cstheme="minorHAnsi"/>
          <w:color w:val="000000"/>
          <w:lang w:val="tr-TR"/>
        </w:rPr>
      </w:pPr>
    </w:p>
    <w:p w:rsidR="00FD354E" w:rsidRPr="0090402D" w:rsidRDefault="00FD354E" w:rsidP="00FD354E">
      <w:pPr>
        <w:tabs>
          <w:tab w:val="left" w:pos="1170"/>
        </w:tabs>
        <w:spacing w:before="120" w:after="120" w:line="264" w:lineRule="auto"/>
        <w:jc w:val="both"/>
        <w:rPr>
          <w:rFonts w:cstheme="minorHAnsi"/>
          <w:sz w:val="24"/>
          <w:szCs w:val="24"/>
          <w:lang w:val="tr-TR"/>
        </w:rPr>
      </w:pPr>
      <w:r w:rsidRPr="0090402D">
        <w:rPr>
          <w:rFonts w:cstheme="minorHAnsi"/>
          <w:sz w:val="24"/>
          <w:szCs w:val="24"/>
          <w:lang w:val="tr-TR"/>
        </w:rPr>
        <w:t>İl bazında tasarım başvuru sayılarına baktığımızda ilk beş ilin İstanbul, Bursa, Ankara, Gaziantep ve Kayseri olduğunu görüyoruz. İstanbul 415 bin başvuru ile kendisinden sonra gelen dört ilin toplamından (275 bin) daha fazla tasarım başvurusu yapmıştır.</w:t>
      </w:r>
    </w:p>
    <w:p w:rsidR="00FD354E" w:rsidRPr="00241592" w:rsidRDefault="00FD354E" w:rsidP="00FD354E">
      <w:pPr>
        <w:tabs>
          <w:tab w:val="left" w:pos="1170"/>
        </w:tabs>
        <w:spacing w:before="120" w:after="120" w:line="264" w:lineRule="auto"/>
        <w:jc w:val="both"/>
        <w:rPr>
          <w:rFonts w:cstheme="minorHAnsi"/>
          <w:lang w:val="tr-TR"/>
        </w:rPr>
      </w:pPr>
    </w:p>
    <w:p w:rsidR="00FD354E" w:rsidRPr="00241592" w:rsidRDefault="00FD354E" w:rsidP="00FD354E">
      <w:pPr>
        <w:spacing w:before="120" w:after="120" w:line="264" w:lineRule="auto"/>
        <w:jc w:val="center"/>
        <w:rPr>
          <w:rFonts w:cstheme="minorHAnsi"/>
          <w:lang w:val="tr-TR"/>
        </w:rPr>
      </w:pPr>
      <w:r w:rsidRPr="00241592">
        <w:rPr>
          <w:rFonts w:cstheme="minorHAnsi"/>
          <w:noProof/>
        </w:rPr>
        <w:lastRenderedPageBreak/>
        <w:drawing>
          <wp:inline distT="0" distB="0" distL="0" distR="0" wp14:anchorId="5B5AE5D5" wp14:editId="49300B59">
            <wp:extent cx="4114800" cy="1517073"/>
            <wp:effectExtent l="0" t="0" r="0" b="6985"/>
            <wp:docPr id="12" name="Grafik 12">
              <a:extLst xmlns:a="http://schemas.openxmlformats.org/drawingml/2006/main">
                <a:ext uri="{FF2B5EF4-FFF2-40B4-BE49-F238E27FC236}">
                  <a16:creationId xmlns:a16="http://schemas.microsoft.com/office/drawing/2014/main" id="{2F2C23B2-0F3C-1566-5C32-6A8066D231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D354E" w:rsidRPr="0090402D" w:rsidRDefault="00FD354E" w:rsidP="00FD354E">
      <w:pPr>
        <w:shd w:val="clear" w:color="auto" w:fill="FFFFFF"/>
        <w:spacing w:before="120" w:after="120" w:line="264" w:lineRule="auto"/>
        <w:jc w:val="center"/>
        <w:outlineLvl w:val="2"/>
        <w:rPr>
          <w:rFonts w:eastAsia="Times New Roman" w:cstheme="minorHAnsi"/>
          <w:color w:val="000000"/>
          <w:sz w:val="20"/>
          <w:szCs w:val="20"/>
          <w:lang w:val="tr-TR"/>
        </w:rPr>
      </w:pPr>
      <w:r w:rsidRPr="0090402D">
        <w:rPr>
          <w:rFonts w:eastAsia="Times New Roman" w:cstheme="minorHAnsi"/>
          <w:color w:val="000000"/>
          <w:sz w:val="20"/>
          <w:szCs w:val="20"/>
          <w:lang w:val="tr-TR"/>
        </w:rPr>
        <w:t>Tasarım Başvuru Sayıları – Son 5 İl (3)</w:t>
      </w:r>
    </w:p>
    <w:p w:rsidR="00FD354E" w:rsidRPr="00241592" w:rsidRDefault="00FD354E" w:rsidP="00FD354E">
      <w:pPr>
        <w:tabs>
          <w:tab w:val="left" w:pos="1170"/>
        </w:tabs>
        <w:spacing w:before="120" w:after="120" w:line="264" w:lineRule="auto"/>
        <w:jc w:val="both"/>
        <w:rPr>
          <w:rFonts w:cstheme="minorHAnsi"/>
          <w:lang w:val="tr-TR"/>
        </w:rPr>
      </w:pPr>
    </w:p>
    <w:p w:rsidR="00FD354E" w:rsidRPr="0090402D" w:rsidRDefault="00FD354E" w:rsidP="00FD354E">
      <w:pPr>
        <w:tabs>
          <w:tab w:val="left" w:pos="1170"/>
        </w:tabs>
        <w:spacing w:before="120" w:after="120" w:line="264" w:lineRule="auto"/>
        <w:jc w:val="both"/>
        <w:rPr>
          <w:rFonts w:cstheme="minorHAnsi"/>
          <w:sz w:val="24"/>
          <w:szCs w:val="24"/>
          <w:lang w:val="tr-TR"/>
        </w:rPr>
      </w:pPr>
      <w:r w:rsidRPr="0090402D">
        <w:rPr>
          <w:rFonts w:cstheme="minorHAnsi"/>
          <w:sz w:val="24"/>
          <w:szCs w:val="24"/>
          <w:lang w:val="tr-TR"/>
        </w:rPr>
        <w:t>Sıralamadaki son beş ilde ise Bingöl, Iğdır, Siirt, Ardahan ve Tunceli’yi görmekteyiz. Beş ilin toplamda 92 adet başvurusu bulunmaktadır.</w:t>
      </w:r>
    </w:p>
    <w:p w:rsidR="00FD354E" w:rsidRPr="00241592" w:rsidRDefault="00FD354E" w:rsidP="00FD354E">
      <w:pPr>
        <w:tabs>
          <w:tab w:val="left" w:pos="1170"/>
        </w:tabs>
        <w:spacing w:before="120" w:after="120" w:line="264" w:lineRule="auto"/>
        <w:jc w:val="both"/>
        <w:rPr>
          <w:rFonts w:cstheme="minorHAnsi"/>
          <w:lang w:val="tr-TR"/>
        </w:rPr>
      </w:pPr>
    </w:p>
    <w:p w:rsidR="00FD354E" w:rsidRPr="00241592" w:rsidRDefault="00FD354E" w:rsidP="00FD354E">
      <w:pPr>
        <w:tabs>
          <w:tab w:val="left" w:pos="1170"/>
        </w:tabs>
        <w:spacing w:before="120" w:after="120" w:line="264" w:lineRule="auto"/>
        <w:jc w:val="center"/>
        <w:rPr>
          <w:rFonts w:cstheme="minorHAnsi"/>
          <w:lang w:val="tr-TR"/>
        </w:rPr>
      </w:pPr>
      <w:r w:rsidRPr="00241592">
        <w:rPr>
          <w:rFonts w:cstheme="minorHAnsi"/>
          <w:noProof/>
        </w:rPr>
        <w:drawing>
          <wp:inline distT="0" distB="0" distL="0" distR="0" wp14:anchorId="53302F8B" wp14:editId="7A9CDC02">
            <wp:extent cx="4724400" cy="2119745"/>
            <wp:effectExtent l="0" t="0" r="0" b="0"/>
            <wp:docPr id="13" name="Grafik 13">
              <a:extLst xmlns:a="http://schemas.openxmlformats.org/drawingml/2006/main">
                <a:ext uri="{FF2B5EF4-FFF2-40B4-BE49-F238E27FC236}">
                  <a16:creationId xmlns:a16="http://schemas.microsoft.com/office/drawing/2014/main" id="{C643AC18-528F-52EF-DC3B-A3D2E68F47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D354E" w:rsidRPr="0090402D" w:rsidRDefault="00FD354E" w:rsidP="00FD354E">
      <w:pPr>
        <w:shd w:val="clear" w:color="auto" w:fill="FFFFFF"/>
        <w:spacing w:before="120" w:after="120" w:line="264" w:lineRule="auto"/>
        <w:jc w:val="center"/>
        <w:outlineLvl w:val="2"/>
        <w:rPr>
          <w:rFonts w:eastAsia="Times New Roman" w:cstheme="minorHAnsi"/>
          <w:color w:val="000000"/>
          <w:sz w:val="20"/>
          <w:szCs w:val="20"/>
          <w:lang w:val="tr-TR"/>
        </w:rPr>
      </w:pPr>
      <w:r w:rsidRPr="0090402D">
        <w:rPr>
          <w:rFonts w:eastAsia="Times New Roman" w:cstheme="minorHAnsi"/>
          <w:color w:val="000000"/>
          <w:sz w:val="20"/>
          <w:szCs w:val="20"/>
          <w:lang w:val="tr-TR"/>
        </w:rPr>
        <w:t>Tasarım Başvuru Sınıfları – İlk 10 Sınıf (3)</w:t>
      </w:r>
    </w:p>
    <w:p w:rsidR="00FD354E" w:rsidRPr="00241592" w:rsidRDefault="00FD354E" w:rsidP="00FD354E">
      <w:pPr>
        <w:tabs>
          <w:tab w:val="left" w:pos="1170"/>
        </w:tabs>
        <w:spacing w:before="120" w:after="120" w:line="264" w:lineRule="auto"/>
        <w:jc w:val="both"/>
        <w:rPr>
          <w:rFonts w:cstheme="minorHAnsi"/>
          <w:lang w:val="tr-TR"/>
        </w:rPr>
      </w:pPr>
    </w:p>
    <w:p w:rsidR="00FD354E" w:rsidRPr="0090402D" w:rsidRDefault="00FD354E" w:rsidP="00FD354E">
      <w:pPr>
        <w:tabs>
          <w:tab w:val="left" w:pos="1170"/>
        </w:tabs>
        <w:spacing w:before="120" w:after="120" w:line="264" w:lineRule="auto"/>
        <w:jc w:val="both"/>
        <w:rPr>
          <w:rFonts w:cstheme="minorHAnsi"/>
          <w:sz w:val="24"/>
          <w:szCs w:val="24"/>
          <w:lang w:val="tr-TR"/>
        </w:rPr>
      </w:pPr>
      <w:r w:rsidRPr="0090402D">
        <w:rPr>
          <w:rFonts w:cstheme="minorHAnsi"/>
          <w:sz w:val="24"/>
          <w:szCs w:val="24"/>
          <w:lang w:val="tr-TR"/>
        </w:rPr>
        <w:t>Tasarım başvuruları, tasarımın kullanıldığı veya uygulandığı ürünler</w:t>
      </w:r>
      <w:r>
        <w:rPr>
          <w:rFonts w:cstheme="minorHAnsi"/>
          <w:sz w:val="24"/>
          <w:szCs w:val="24"/>
          <w:lang w:val="tr-TR"/>
        </w:rPr>
        <w:t xml:space="preserve"> bakımından </w:t>
      </w:r>
      <w:r w:rsidRPr="0090402D">
        <w:rPr>
          <w:rFonts w:cstheme="minorHAnsi"/>
          <w:sz w:val="24"/>
          <w:szCs w:val="24"/>
          <w:lang w:val="tr-TR"/>
        </w:rPr>
        <w:t xml:space="preserve">Endüstriyel Tasarımların Uluslararası Sınıflandırılmasına İlişkin </w:t>
      </w:r>
      <w:proofErr w:type="spellStart"/>
      <w:r w:rsidRPr="0090402D">
        <w:rPr>
          <w:rFonts w:cstheme="minorHAnsi"/>
          <w:sz w:val="24"/>
          <w:szCs w:val="24"/>
          <w:lang w:val="tr-TR"/>
        </w:rPr>
        <w:t>Locarno</w:t>
      </w:r>
      <w:proofErr w:type="spellEnd"/>
      <w:r w:rsidRPr="0090402D">
        <w:rPr>
          <w:rFonts w:cstheme="minorHAnsi"/>
          <w:sz w:val="24"/>
          <w:szCs w:val="24"/>
          <w:lang w:val="tr-TR"/>
        </w:rPr>
        <w:t xml:space="preserve"> Anlaşması hükümlerine göre sınıflandırılır. Belirli aralıklar ile güncellenen </w:t>
      </w:r>
      <w:proofErr w:type="spellStart"/>
      <w:r w:rsidRPr="0090402D">
        <w:rPr>
          <w:rFonts w:cstheme="minorHAnsi"/>
          <w:sz w:val="24"/>
          <w:szCs w:val="24"/>
          <w:lang w:val="tr-TR"/>
        </w:rPr>
        <w:t>Locarno</w:t>
      </w:r>
      <w:proofErr w:type="spellEnd"/>
      <w:r w:rsidRPr="0090402D">
        <w:rPr>
          <w:rFonts w:cstheme="minorHAnsi"/>
          <w:sz w:val="24"/>
          <w:szCs w:val="24"/>
          <w:lang w:val="tr-TR"/>
        </w:rPr>
        <w:t xml:space="preserve"> Sınıflandırma sisteminde 32 adet ana sınıf bulunmaktadır. Patent sınıflandırma sistemine benzer olarak tasarım sınıflandırmaları da tasarımın yeni olup olmadığının araştırılması esnasında kullanılmaktadır. Bunun yanı sıra hangi sektörde ne kadar başvuru yapıldığının belirlenmesinde de etkili bir veri sunabilmektedir. Tasarım başvurularını sınıflarına göre -ilk on sınıf- sıralamasını yukarıdaki grafikte görebiliriz. İlk sırayı yaklaşık 147 bin başvuru ile 6. </w:t>
      </w:r>
      <w:proofErr w:type="spellStart"/>
      <w:r w:rsidRPr="0090402D">
        <w:rPr>
          <w:rFonts w:cstheme="minorHAnsi"/>
          <w:sz w:val="24"/>
          <w:szCs w:val="24"/>
          <w:lang w:val="tr-TR"/>
        </w:rPr>
        <w:t>Ssnıf</w:t>
      </w:r>
      <w:proofErr w:type="spellEnd"/>
      <w:r w:rsidRPr="0090402D">
        <w:rPr>
          <w:rFonts w:cstheme="minorHAnsi"/>
          <w:sz w:val="24"/>
          <w:szCs w:val="24"/>
          <w:lang w:val="tr-TR"/>
        </w:rPr>
        <w:t xml:space="preserve"> almaktadır. 6. sınıfı, 32. sınıf ve 2. sınıf takip etmektedir. Bu sınıflar 6. sınıf mefruşat, 32. sınıf grafik semboller ve </w:t>
      </w:r>
      <w:proofErr w:type="gramStart"/>
      <w:r w:rsidRPr="0090402D">
        <w:rPr>
          <w:rFonts w:cstheme="minorHAnsi"/>
          <w:sz w:val="24"/>
          <w:szCs w:val="24"/>
          <w:lang w:val="tr-TR"/>
        </w:rPr>
        <w:t>logolar</w:t>
      </w:r>
      <w:proofErr w:type="gramEnd"/>
      <w:r w:rsidRPr="0090402D">
        <w:rPr>
          <w:rFonts w:cstheme="minorHAnsi"/>
          <w:sz w:val="24"/>
          <w:szCs w:val="24"/>
          <w:lang w:val="tr-TR"/>
        </w:rPr>
        <w:t>, yüzey desenleri, süslemeler ve 2. sınıf giyim ve tuhafiye eşyalarıdır.</w:t>
      </w:r>
    </w:p>
    <w:p w:rsidR="00FD354E" w:rsidRPr="00241592" w:rsidRDefault="00FD354E" w:rsidP="00FD354E">
      <w:pPr>
        <w:tabs>
          <w:tab w:val="left" w:pos="1170"/>
        </w:tabs>
        <w:spacing w:before="120" w:after="120" w:line="264" w:lineRule="auto"/>
        <w:jc w:val="both"/>
        <w:rPr>
          <w:rFonts w:cstheme="minorHAnsi"/>
          <w:lang w:val="tr-TR"/>
        </w:rPr>
      </w:pPr>
    </w:p>
    <w:p w:rsidR="00FD354E" w:rsidRPr="00241592" w:rsidRDefault="00FD354E" w:rsidP="00FD354E">
      <w:pPr>
        <w:tabs>
          <w:tab w:val="left" w:pos="1170"/>
        </w:tabs>
        <w:spacing w:before="120" w:after="120" w:line="264" w:lineRule="auto"/>
        <w:jc w:val="center"/>
        <w:rPr>
          <w:rFonts w:cstheme="minorHAnsi"/>
          <w:lang w:val="tr-TR"/>
        </w:rPr>
      </w:pPr>
      <w:r w:rsidRPr="00241592">
        <w:rPr>
          <w:rFonts w:cstheme="minorHAnsi"/>
          <w:noProof/>
        </w:rPr>
        <w:lastRenderedPageBreak/>
        <w:drawing>
          <wp:inline distT="0" distB="0" distL="0" distR="0" wp14:anchorId="6EB123DF" wp14:editId="1CBA18A0">
            <wp:extent cx="5389419" cy="2770909"/>
            <wp:effectExtent l="0" t="0" r="1905" b="0"/>
            <wp:docPr id="6" name="Grafik 6">
              <a:extLst xmlns:a="http://schemas.openxmlformats.org/drawingml/2006/main">
                <a:ext uri="{FF2B5EF4-FFF2-40B4-BE49-F238E27FC236}">
                  <a16:creationId xmlns:a16="http://schemas.microsoft.com/office/drawing/2014/main" id="{18CD0E46-5E56-E13A-C9E3-637E8C04C7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D354E" w:rsidRPr="0090402D" w:rsidRDefault="00FD354E" w:rsidP="00FD354E">
      <w:pPr>
        <w:shd w:val="clear" w:color="auto" w:fill="FFFFFF"/>
        <w:spacing w:before="120" w:after="120" w:line="264" w:lineRule="auto"/>
        <w:jc w:val="center"/>
        <w:outlineLvl w:val="2"/>
        <w:rPr>
          <w:rFonts w:eastAsia="Times New Roman" w:cstheme="minorHAnsi"/>
          <w:color w:val="000000"/>
          <w:sz w:val="20"/>
          <w:szCs w:val="20"/>
          <w:lang w:val="tr-TR"/>
        </w:rPr>
      </w:pPr>
      <w:r w:rsidRPr="0090402D">
        <w:rPr>
          <w:rFonts w:eastAsia="Times New Roman" w:cstheme="minorHAnsi"/>
          <w:color w:val="000000"/>
          <w:sz w:val="20"/>
          <w:szCs w:val="20"/>
          <w:lang w:val="tr-TR"/>
        </w:rPr>
        <w:t>Türkiye’de Yıllara Göre Tasarım Başvuru Sayıları TR – Yurtdışı (3)</w:t>
      </w:r>
    </w:p>
    <w:p w:rsidR="00FD354E" w:rsidRPr="00241592" w:rsidRDefault="00FD354E" w:rsidP="00FD354E">
      <w:pPr>
        <w:tabs>
          <w:tab w:val="left" w:pos="1170"/>
        </w:tabs>
        <w:spacing w:before="120" w:after="120" w:line="264" w:lineRule="auto"/>
        <w:jc w:val="both"/>
        <w:rPr>
          <w:rFonts w:cstheme="minorHAnsi"/>
          <w:lang w:val="tr-TR"/>
        </w:rPr>
      </w:pPr>
    </w:p>
    <w:p w:rsidR="00FD354E" w:rsidRPr="0090402D" w:rsidRDefault="00FD354E" w:rsidP="00FD354E">
      <w:pPr>
        <w:tabs>
          <w:tab w:val="left" w:pos="1170"/>
        </w:tabs>
        <w:spacing w:before="120" w:after="120" w:line="264" w:lineRule="auto"/>
        <w:jc w:val="both"/>
        <w:rPr>
          <w:rFonts w:cstheme="minorHAnsi"/>
          <w:sz w:val="24"/>
          <w:szCs w:val="24"/>
          <w:lang w:val="tr-TR"/>
        </w:rPr>
      </w:pPr>
      <w:r w:rsidRPr="0090402D">
        <w:rPr>
          <w:rFonts w:cstheme="minorHAnsi"/>
          <w:sz w:val="24"/>
          <w:szCs w:val="24"/>
          <w:lang w:val="tr-TR"/>
        </w:rPr>
        <w:t xml:space="preserve">Son olarak yurtiçi ve yurtdışı olarak tasarım başvurularını incelediğimizde tasarım başvurularının büyük bir çoğunluğunun Türkiye </w:t>
      </w:r>
      <w:proofErr w:type="gramStart"/>
      <w:r w:rsidRPr="0090402D">
        <w:rPr>
          <w:rFonts w:cstheme="minorHAnsi"/>
          <w:sz w:val="24"/>
          <w:szCs w:val="24"/>
          <w:lang w:val="tr-TR"/>
        </w:rPr>
        <w:t>bazlı</w:t>
      </w:r>
      <w:proofErr w:type="gramEnd"/>
      <w:r w:rsidRPr="0090402D">
        <w:rPr>
          <w:rFonts w:cstheme="minorHAnsi"/>
          <w:sz w:val="24"/>
          <w:szCs w:val="24"/>
          <w:lang w:val="tr-TR"/>
        </w:rPr>
        <w:t xml:space="preserve"> olduğunu söylemek mümkün. Ancak özellikle 2017 sonrasında yurtdışından gelen tasarım başvurularının gözle görülür –yaklaşık 5 kat– bir ivme ile arttığını görüyoruz.</w:t>
      </w:r>
    </w:p>
    <w:p w:rsidR="00FD354E" w:rsidRPr="00241592" w:rsidRDefault="00FD354E" w:rsidP="00FD354E">
      <w:pPr>
        <w:tabs>
          <w:tab w:val="left" w:pos="1170"/>
        </w:tabs>
        <w:spacing w:before="120" w:after="120" w:line="264" w:lineRule="auto"/>
        <w:jc w:val="center"/>
        <w:rPr>
          <w:rFonts w:cstheme="minorHAnsi"/>
          <w:lang w:val="tr-TR"/>
        </w:rPr>
      </w:pPr>
      <w:r w:rsidRPr="00241592">
        <w:rPr>
          <w:rFonts w:cstheme="minorHAnsi"/>
          <w:noProof/>
        </w:rPr>
        <w:drawing>
          <wp:inline distT="0" distB="0" distL="0" distR="0" wp14:anchorId="2A4F7A48" wp14:editId="4612F2EC">
            <wp:extent cx="4322618" cy="2556164"/>
            <wp:effectExtent l="0" t="0" r="1905" b="0"/>
            <wp:docPr id="9" name="Grafik 9">
              <a:extLst xmlns:a="http://schemas.openxmlformats.org/drawingml/2006/main">
                <a:ext uri="{FF2B5EF4-FFF2-40B4-BE49-F238E27FC236}">
                  <a16:creationId xmlns:a16="http://schemas.microsoft.com/office/drawing/2014/main" id="{F9BA8599-9EE2-9E5D-FCA0-89316C7F09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D354E" w:rsidRPr="0090402D" w:rsidRDefault="00FD354E" w:rsidP="00FD354E">
      <w:pPr>
        <w:shd w:val="clear" w:color="auto" w:fill="FFFFFF"/>
        <w:spacing w:before="120" w:after="120" w:line="264" w:lineRule="auto"/>
        <w:jc w:val="center"/>
        <w:outlineLvl w:val="2"/>
        <w:rPr>
          <w:rFonts w:eastAsia="Times New Roman" w:cstheme="minorHAnsi"/>
          <w:color w:val="000000"/>
          <w:sz w:val="20"/>
          <w:szCs w:val="20"/>
          <w:lang w:val="tr-TR"/>
        </w:rPr>
      </w:pPr>
      <w:r w:rsidRPr="0090402D">
        <w:rPr>
          <w:rFonts w:eastAsia="Times New Roman" w:cstheme="minorHAnsi"/>
          <w:color w:val="000000"/>
          <w:sz w:val="20"/>
          <w:szCs w:val="20"/>
          <w:lang w:val="tr-TR"/>
        </w:rPr>
        <w:t>Türkiye’deki Yıllara Göre Tasarım Başvuru Sayıları (3)</w:t>
      </w:r>
    </w:p>
    <w:p w:rsidR="00FD354E" w:rsidRPr="00241592" w:rsidRDefault="00FD354E" w:rsidP="00FD354E">
      <w:pPr>
        <w:tabs>
          <w:tab w:val="left" w:pos="1170"/>
        </w:tabs>
        <w:spacing w:before="120" w:after="120" w:line="264" w:lineRule="auto"/>
        <w:jc w:val="both"/>
        <w:rPr>
          <w:rFonts w:cstheme="minorHAnsi"/>
          <w:lang w:val="tr-TR"/>
        </w:rPr>
      </w:pPr>
    </w:p>
    <w:p w:rsidR="00FD354E" w:rsidRPr="0090402D" w:rsidRDefault="00FD354E" w:rsidP="00FD354E">
      <w:pPr>
        <w:tabs>
          <w:tab w:val="left" w:pos="1170"/>
        </w:tabs>
        <w:spacing w:before="120" w:after="120" w:line="264" w:lineRule="auto"/>
        <w:jc w:val="both"/>
        <w:rPr>
          <w:rFonts w:cstheme="minorHAnsi"/>
          <w:sz w:val="24"/>
          <w:szCs w:val="24"/>
          <w:lang w:val="tr-TR"/>
        </w:rPr>
      </w:pPr>
      <w:r w:rsidRPr="0090402D">
        <w:rPr>
          <w:rFonts w:cstheme="minorHAnsi"/>
          <w:sz w:val="24"/>
          <w:szCs w:val="24"/>
          <w:lang w:val="tr-TR"/>
        </w:rPr>
        <w:t>Yurtdışından gelen tasarım başvurularında ülke detayına bakarsak ilk beşte, Almanya, İtalya, ABD, İsviçre ve Fransa’yı görüyoruz.  Bu başvuru sayılarında Almanya açık ara öndeyken; İtalya, ABD ve İsviçre birbirine yakın sayıda başvuruya sahip, Fransa ise bu üç ülkeye nispeten biraz daha az sayıda başvuruya sahip.</w:t>
      </w:r>
    </w:p>
    <w:p w:rsidR="00FD354E" w:rsidRPr="0090402D" w:rsidRDefault="00FD354E" w:rsidP="00FD354E">
      <w:pPr>
        <w:tabs>
          <w:tab w:val="left" w:pos="1170"/>
        </w:tabs>
        <w:spacing w:before="120" w:after="120" w:line="264" w:lineRule="auto"/>
        <w:jc w:val="both"/>
        <w:rPr>
          <w:rFonts w:cstheme="minorHAnsi"/>
          <w:sz w:val="24"/>
          <w:szCs w:val="24"/>
          <w:lang w:val="tr-TR"/>
        </w:rPr>
      </w:pPr>
    </w:p>
    <w:p w:rsidR="00FD354E" w:rsidRPr="0090402D" w:rsidRDefault="00FD354E" w:rsidP="00FD354E">
      <w:pPr>
        <w:tabs>
          <w:tab w:val="left" w:pos="1170"/>
        </w:tabs>
        <w:spacing w:before="120" w:after="120" w:line="264" w:lineRule="auto"/>
        <w:jc w:val="both"/>
        <w:rPr>
          <w:rFonts w:cstheme="minorHAnsi"/>
          <w:sz w:val="24"/>
          <w:szCs w:val="24"/>
          <w:lang w:val="tr-TR"/>
        </w:rPr>
      </w:pPr>
      <w:r w:rsidRPr="0090402D">
        <w:rPr>
          <w:rFonts w:eastAsia="Times New Roman" w:cstheme="minorHAnsi"/>
          <w:color w:val="333333"/>
          <w:kern w:val="36"/>
          <w:sz w:val="24"/>
          <w:szCs w:val="24"/>
          <w:lang w:val="tr-TR" w:eastAsia="tr-TR"/>
        </w:rPr>
        <w:lastRenderedPageBreak/>
        <w:t xml:space="preserve">Sonuç olarak, sınai mülkiyet hakları içerisinde önemli bir kalem olan tasarım başvuru sayılarının –yeterli olmamakla birlikte– genel olarak artan bir </w:t>
      </w:r>
      <w:proofErr w:type="gramStart"/>
      <w:r w:rsidRPr="0090402D">
        <w:rPr>
          <w:rFonts w:eastAsia="Times New Roman" w:cstheme="minorHAnsi"/>
          <w:color w:val="333333"/>
          <w:kern w:val="36"/>
          <w:sz w:val="24"/>
          <w:szCs w:val="24"/>
          <w:lang w:val="tr-TR" w:eastAsia="tr-TR"/>
        </w:rPr>
        <w:t>trend</w:t>
      </w:r>
      <w:proofErr w:type="gramEnd"/>
      <w:r w:rsidRPr="0090402D">
        <w:rPr>
          <w:rFonts w:eastAsia="Times New Roman" w:cstheme="minorHAnsi"/>
          <w:color w:val="333333"/>
          <w:kern w:val="36"/>
          <w:sz w:val="24"/>
          <w:szCs w:val="24"/>
          <w:lang w:val="tr-TR" w:eastAsia="tr-TR"/>
        </w:rPr>
        <w:t xml:space="preserve"> izlediğini söyleyebiliriz.</w:t>
      </w:r>
      <w:r w:rsidRPr="0090402D">
        <w:rPr>
          <w:rFonts w:cstheme="minorHAnsi"/>
          <w:sz w:val="24"/>
          <w:szCs w:val="24"/>
          <w:lang w:val="tr-TR"/>
        </w:rPr>
        <w:t xml:space="preserve"> </w:t>
      </w:r>
      <w:r w:rsidRPr="0090402D">
        <w:rPr>
          <w:rFonts w:eastAsia="Times New Roman" w:cstheme="minorHAnsi"/>
          <w:color w:val="333333"/>
          <w:kern w:val="36"/>
          <w:sz w:val="24"/>
          <w:szCs w:val="24"/>
          <w:lang w:val="tr-TR" w:eastAsia="tr-TR"/>
        </w:rPr>
        <w:t>Bununla birlikte il, sınıf veya yurtdışından gelen başvurulardaki ülke sıralamasında, başvuruların büyük çoğunluğunun ilk sıralarda olanlarda (İstanbul, 6. sınıf ve 32. sınıf, Almanya vb.) yoğunlaştığını görüyoruz.</w:t>
      </w:r>
      <w:r w:rsidRPr="0090402D">
        <w:rPr>
          <w:rFonts w:cstheme="minorHAnsi"/>
          <w:sz w:val="24"/>
          <w:szCs w:val="24"/>
          <w:lang w:val="tr-TR"/>
        </w:rPr>
        <w:t xml:space="preserve"> </w:t>
      </w:r>
      <w:r w:rsidRPr="0090402D">
        <w:rPr>
          <w:rFonts w:eastAsia="Times New Roman" w:cstheme="minorHAnsi"/>
          <w:color w:val="333333"/>
          <w:kern w:val="36"/>
          <w:sz w:val="24"/>
          <w:szCs w:val="24"/>
          <w:lang w:val="tr-TR" w:eastAsia="tr-TR"/>
        </w:rPr>
        <w:t>Hem genel olarak tasarım başvuru sayılarının artırılması hem de diğer il ve iş alanlarındaki, çıktısı tasarım sınai mülkiyet hakkını ilgilendiren konuların/alanların tespit edilmesi ve bu hakların da korunması önem arz etmektedir.</w:t>
      </w:r>
    </w:p>
    <w:p w:rsidR="00FD354E" w:rsidRPr="0090402D" w:rsidRDefault="00FD354E" w:rsidP="00FD354E">
      <w:pPr>
        <w:spacing w:before="120" w:after="120" w:line="264" w:lineRule="auto"/>
        <w:jc w:val="both"/>
        <w:rPr>
          <w:rFonts w:eastAsia="Times New Roman" w:cstheme="minorHAnsi"/>
          <w:color w:val="333333"/>
          <w:kern w:val="36"/>
          <w:sz w:val="24"/>
          <w:szCs w:val="24"/>
          <w:lang w:val="tr-TR" w:eastAsia="tr-TR"/>
        </w:rPr>
      </w:pPr>
      <w:r w:rsidRPr="0090402D">
        <w:rPr>
          <w:rFonts w:eastAsia="Times New Roman" w:cstheme="minorHAnsi"/>
          <w:color w:val="333333"/>
          <w:kern w:val="36"/>
          <w:sz w:val="24"/>
          <w:szCs w:val="24"/>
          <w:lang w:val="tr-TR" w:eastAsia="tr-TR"/>
        </w:rPr>
        <w:t>Bol tasarımlı günler dileğiyle…</w:t>
      </w:r>
    </w:p>
    <w:p w:rsidR="00FD354E" w:rsidRPr="0090402D" w:rsidRDefault="00FD354E" w:rsidP="00FD354E">
      <w:pPr>
        <w:spacing w:before="120" w:after="120" w:line="264" w:lineRule="auto"/>
        <w:jc w:val="both"/>
        <w:rPr>
          <w:rFonts w:eastAsia="Times New Roman" w:cstheme="minorHAnsi"/>
          <w:color w:val="333333"/>
          <w:kern w:val="36"/>
          <w:sz w:val="24"/>
          <w:szCs w:val="24"/>
          <w:lang w:val="tr-TR" w:eastAsia="tr-TR"/>
        </w:rPr>
      </w:pPr>
    </w:p>
    <w:p w:rsidR="00FD354E" w:rsidRPr="0090402D" w:rsidRDefault="00FD354E" w:rsidP="00FD354E">
      <w:pPr>
        <w:spacing w:before="120" w:after="120" w:line="264" w:lineRule="auto"/>
        <w:rPr>
          <w:rFonts w:eastAsia="Times New Roman" w:cstheme="minorHAnsi"/>
          <w:color w:val="000000"/>
          <w:sz w:val="24"/>
          <w:szCs w:val="24"/>
          <w:lang w:val="tr-TR"/>
        </w:rPr>
      </w:pPr>
      <w:r w:rsidRPr="0090402D">
        <w:rPr>
          <w:rFonts w:eastAsia="Times New Roman" w:cstheme="minorHAnsi"/>
          <w:b/>
          <w:bCs/>
          <w:color w:val="000000"/>
          <w:sz w:val="24"/>
          <w:szCs w:val="24"/>
          <w:lang w:val="tr-TR"/>
        </w:rPr>
        <w:t>Kaynaklar</w:t>
      </w:r>
      <w:r>
        <w:rPr>
          <w:rFonts w:eastAsia="Times New Roman" w:cstheme="minorHAnsi"/>
          <w:b/>
          <w:bCs/>
          <w:color w:val="000000"/>
          <w:sz w:val="24"/>
          <w:szCs w:val="24"/>
          <w:lang w:val="tr-TR"/>
        </w:rPr>
        <w:t>:</w:t>
      </w:r>
    </w:p>
    <w:p w:rsidR="00FD354E" w:rsidRPr="0090402D" w:rsidRDefault="00FD354E" w:rsidP="00FD354E">
      <w:pPr>
        <w:pStyle w:val="ListeParagraf"/>
        <w:numPr>
          <w:ilvl w:val="0"/>
          <w:numId w:val="1"/>
        </w:numPr>
        <w:spacing w:before="120" w:after="120" w:line="264" w:lineRule="auto"/>
        <w:rPr>
          <w:rFonts w:eastAsia="Times New Roman" w:cstheme="minorHAnsi"/>
          <w:color w:val="000000"/>
        </w:rPr>
      </w:pPr>
      <w:r w:rsidRPr="0090402D">
        <w:rPr>
          <w:rFonts w:eastAsia="Times New Roman" w:cstheme="minorHAnsi"/>
          <w:color w:val="000000"/>
        </w:rPr>
        <w:t>Türk Patent ve Marka Kurumu – Tasarım İnceleme Kılavuzu</w:t>
      </w:r>
    </w:p>
    <w:p w:rsidR="00FD354E" w:rsidRPr="0090402D" w:rsidRDefault="00FD354E" w:rsidP="00FD354E">
      <w:pPr>
        <w:pStyle w:val="ListeParagraf"/>
        <w:numPr>
          <w:ilvl w:val="0"/>
          <w:numId w:val="1"/>
        </w:numPr>
        <w:spacing w:before="120" w:after="120" w:line="264" w:lineRule="auto"/>
        <w:rPr>
          <w:rFonts w:cstheme="minorHAnsi"/>
          <w:color w:val="FF0000"/>
        </w:rPr>
      </w:pPr>
      <w:r w:rsidRPr="0090402D">
        <w:rPr>
          <w:rFonts w:cstheme="minorHAnsi"/>
        </w:rPr>
        <w:t>6769 Sınai Mülkiyet Kanunu, Madde 56</w:t>
      </w:r>
    </w:p>
    <w:p w:rsidR="00FD354E" w:rsidRPr="0090402D" w:rsidRDefault="00FD354E" w:rsidP="00FD354E">
      <w:pPr>
        <w:pStyle w:val="ListeParagraf"/>
        <w:numPr>
          <w:ilvl w:val="0"/>
          <w:numId w:val="1"/>
        </w:numPr>
        <w:spacing w:before="120" w:after="120" w:line="264" w:lineRule="auto"/>
        <w:rPr>
          <w:rFonts w:cstheme="minorHAnsi"/>
          <w:color w:val="FF0000"/>
        </w:rPr>
      </w:pPr>
      <w:hyperlink r:id="rId11" w:history="1">
        <w:r w:rsidRPr="0090402D">
          <w:rPr>
            <w:rStyle w:val="Kpr"/>
            <w:rFonts w:cstheme="minorHAnsi"/>
          </w:rPr>
          <w:t>https://www.turkpatent.gov.tr/tasarim-istatistik</w:t>
        </w:r>
      </w:hyperlink>
      <w:r w:rsidRPr="0090402D">
        <w:rPr>
          <w:rFonts w:cstheme="minorHAnsi"/>
          <w:color w:val="FF0000"/>
        </w:rPr>
        <w:t xml:space="preserve"> </w:t>
      </w:r>
    </w:p>
    <w:p w:rsidR="00FD354E" w:rsidRPr="0090402D" w:rsidRDefault="00FD354E" w:rsidP="00FD354E">
      <w:pPr>
        <w:spacing w:before="120" w:after="120" w:line="264" w:lineRule="auto"/>
        <w:rPr>
          <w:rFonts w:cstheme="minorHAnsi"/>
          <w:b/>
          <w:sz w:val="24"/>
          <w:szCs w:val="24"/>
          <w:lang w:val="tr-TR"/>
        </w:rPr>
      </w:pPr>
    </w:p>
    <w:p w:rsidR="00FD354E" w:rsidRPr="0090402D" w:rsidRDefault="00FD354E" w:rsidP="00FD354E">
      <w:pPr>
        <w:spacing w:before="120" w:after="120" w:line="264" w:lineRule="auto"/>
        <w:rPr>
          <w:rFonts w:cstheme="minorHAnsi"/>
          <w:b/>
          <w:i/>
          <w:iCs/>
          <w:sz w:val="24"/>
          <w:szCs w:val="24"/>
          <w:lang w:val="tr-TR"/>
        </w:rPr>
      </w:pPr>
      <w:r w:rsidRPr="0090402D">
        <w:rPr>
          <w:rFonts w:cstheme="minorHAnsi"/>
          <w:b/>
          <w:i/>
          <w:iCs/>
          <w:sz w:val="24"/>
          <w:szCs w:val="24"/>
          <w:lang w:val="tr-TR"/>
        </w:rPr>
        <w:t>* Patent Mühendisi, TOGG Türkiye’nin Otomobili Girişim Grubu Sanayi ve Ticaret A.Ş</w:t>
      </w:r>
      <w:proofErr w:type="gramStart"/>
      <w:r w:rsidRPr="0090402D">
        <w:rPr>
          <w:rFonts w:cstheme="minorHAnsi"/>
          <w:b/>
          <w:i/>
          <w:iCs/>
          <w:sz w:val="24"/>
          <w:szCs w:val="24"/>
          <w:lang w:val="tr-TR"/>
        </w:rPr>
        <w:t>.,</w:t>
      </w:r>
      <w:proofErr w:type="gramEnd"/>
      <w:r w:rsidRPr="0090402D">
        <w:rPr>
          <w:rFonts w:cstheme="minorHAnsi"/>
          <w:b/>
          <w:i/>
          <w:iCs/>
          <w:sz w:val="24"/>
          <w:szCs w:val="24"/>
          <w:lang w:val="tr-TR"/>
        </w:rPr>
        <w:t xml:space="preserve"> </w:t>
      </w:r>
      <w:hyperlink r:id="rId12" w:history="1">
        <w:r w:rsidRPr="0090402D">
          <w:rPr>
            <w:rStyle w:val="Kpr"/>
            <w:rFonts w:cstheme="minorHAnsi"/>
            <w:b/>
            <w:i/>
            <w:iCs/>
            <w:sz w:val="24"/>
            <w:szCs w:val="24"/>
            <w:lang w:val="tr-TR"/>
          </w:rPr>
          <w:t>ender.erkaratas@togg.com.tr</w:t>
        </w:r>
      </w:hyperlink>
      <w:r w:rsidRPr="0090402D">
        <w:rPr>
          <w:rStyle w:val="Kpr"/>
          <w:rFonts w:cstheme="minorHAnsi"/>
          <w:b/>
          <w:i/>
          <w:iCs/>
          <w:sz w:val="24"/>
          <w:szCs w:val="24"/>
          <w:lang w:val="tr-TR"/>
        </w:rPr>
        <w:t xml:space="preserve"> </w:t>
      </w:r>
    </w:p>
    <w:p w:rsidR="00164C4B" w:rsidRPr="00FD354E" w:rsidRDefault="00164C4B" w:rsidP="00FD354E">
      <w:pPr>
        <w:spacing w:before="120" w:after="120" w:line="264" w:lineRule="auto"/>
        <w:rPr>
          <w:rFonts w:cstheme="minorHAnsi"/>
          <w:b/>
          <w:lang w:val="tr-TR"/>
        </w:rPr>
      </w:pPr>
    </w:p>
    <w:sectPr w:rsidR="00164C4B" w:rsidRPr="00FD354E"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C5C19"/>
    <w:multiLevelType w:val="hybridMultilevel"/>
    <w:tmpl w:val="262A75AE"/>
    <w:lvl w:ilvl="0" w:tplc="12046298">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54E"/>
    <w:rsid w:val="00164C4B"/>
    <w:rsid w:val="00DF4A05"/>
    <w:rsid w:val="00FD3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AC391"/>
  <w15:chartTrackingRefBased/>
  <w15:docId w15:val="{8FC4A511-C794-4027-A3A6-D85D07C4A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54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FD354E"/>
    <w:rPr>
      <w:color w:val="0000FF"/>
      <w:u w:val="single"/>
    </w:rPr>
  </w:style>
  <w:style w:type="character" w:styleId="AklamaBavurusu">
    <w:name w:val="annotation reference"/>
    <w:basedOn w:val="VarsaylanParagrafYazTipi"/>
    <w:uiPriority w:val="99"/>
    <w:semiHidden/>
    <w:unhideWhenUsed/>
    <w:rsid w:val="00FD354E"/>
    <w:rPr>
      <w:sz w:val="16"/>
      <w:szCs w:val="16"/>
    </w:rPr>
  </w:style>
  <w:style w:type="paragraph" w:styleId="ListeParagraf">
    <w:name w:val="List Paragraph"/>
    <w:basedOn w:val="Normal"/>
    <w:uiPriority w:val="34"/>
    <w:qFormat/>
    <w:rsid w:val="00FD354E"/>
    <w:pPr>
      <w:spacing w:before="240"/>
      <w:ind w:left="720"/>
      <w:contextualSpacing/>
    </w:pPr>
    <w:rPr>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hyperlink" Target="mailto:ender.erkaratas@togg.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hyperlink" Target="https://www.turkpatent.gov.tr/tasarim-istatistik" TargetMode="Externa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ender.erkaratas\Downloads\Tasar&#305;m%20Ba&#351;vurular&#305;n&#305;n%20Y&#305;llara%20G&#246;re%20Da&#287;&#305;l&#305;m&#305;.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nder.erkaratas\Desktop\aippi%20yaz&#305;\03.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ender.erkaratas\Desktop\aippi%20yaz&#305;\03.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ender.erkaratas\Desktop\aippi%20yaz&#305;\04.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ender.erkaratas\Desktop\aippi%20yaz&#305;\01.xls"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ender.erkaratas\Desktop\aippi%20yaz&#305;\01.xls"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002060"/>
              </a:solidFill>
              <a:round/>
            </a:ln>
            <a:effectLst/>
          </c:spPr>
          <c:marker>
            <c:symbol val="none"/>
          </c:marker>
          <c:cat>
            <c:numRef>
              <c:f>Sayfa1!$C$2:$C$28</c:f>
              <c:numCache>
                <c:formatCode>General</c:formatCode>
                <c:ptCount val="27"/>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numCache>
            </c:numRef>
          </c:cat>
          <c:val>
            <c:numRef>
              <c:f>Sayfa1!$D$2:$D$28</c:f>
              <c:numCache>
                <c:formatCode>General</c:formatCode>
                <c:ptCount val="27"/>
                <c:pt idx="0">
                  <c:v>2858</c:v>
                </c:pt>
                <c:pt idx="1">
                  <c:v>4088</c:v>
                </c:pt>
                <c:pt idx="2">
                  <c:v>10552</c:v>
                </c:pt>
                <c:pt idx="3">
                  <c:v>13035</c:v>
                </c:pt>
                <c:pt idx="4">
                  <c:v>9429</c:v>
                </c:pt>
                <c:pt idx="5">
                  <c:v>10710</c:v>
                </c:pt>
                <c:pt idx="6">
                  <c:v>13902</c:v>
                </c:pt>
                <c:pt idx="7">
                  <c:v>20541</c:v>
                </c:pt>
                <c:pt idx="8">
                  <c:v>22432</c:v>
                </c:pt>
                <c:pt idx="9">
                  <c:v>24343</c:v>
                </c:pt>
                <c:pt idx="10">
                  <c:v>28881</c:v>
                </c:pt>
                <c:pt idx="11">
                  <c:v>31321</c:v>
                </c:pt>
                <c:pt idx="12">
                  <c:v>32062</c:v>
                </c:pt>
                <c:pt idx="13">
                  <c:v>33836</c:v>
                </c:pt>
                <c:pt idx="14">
                  <c:v>31256</c:v>
                </c:pt>
                <c:pt idx="15">
                  <c:v>35234</c:v>
                </c:pt>
                <c:pt idx="16">
                  <c:v>41536</c:v>
                </c:pt>
                <c:pt idx="17">
                  <c:v>46601</c:v>
                </c:pt>
                <c:pt idx="18">
                  <c:v>51309</c:v>
                </c:pt>
                <c:pt idx="19">
                  <c:v>49212</c:v>
                </c:pt>
                <c:pt idx="20">
                  <c:v>46413</c:v>
                </c:pt>
                <c:pt idx="21">
                  <c:v>46500</c:v>
                </c:pt>
                <c:pt idx="22">
                  <c:v>46853</c:v>
                </c:pt>
                <c:pt idx="23">
                  <c:v>42345</c:v>
                </c:pt>
                <c:pt idx="24">
                  <c:v>46188</c:v>
                </c:pt>
                <c:pt idx="25">
                  <c:v>47606</c:v>
                </c:pt>
                <c:pt idx="26">
                  <c:v>65915</c:v>
                </c:pt>
              </c:numCache>
            </c:numRef>
          </c:val>
          <c:smooth val="0"/>
          <c:extLst>
            <c:ext xmlns:c16="http://schemas.microsoft.com/office/drawing/2014/chart" uri="{C3380CC4-5D6E-409C-BE32-E72D297353CC}">
              <c16:uniqueId val="{00000000-2755-452C-90CB-F05D99E633BD}"/>
            </c:ext>
          </c:extLst>
        </c:ser>
        <c:dLbls>
          <c:showLegendKey val="0"/>
          <c:showVal val="0"/>
          <c:showCatName val="0"/>
          <c:showSerName val="0"/>
          <c:showPercent val="0"/>
          <c:showBubbleSize val="0"/>
        </c:dLbls>
        <c:smooth val="0"/>
        <c:axId val="293869816"/>
        <c:axId val="293869424"/>
      </c:lineChart>
      <c:catAx>
        <c:axId val="293869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93869424"/>
        <c:crosses val="autoZero"/>
        <c:auto val="1"/>
        <c:lblAlgn val="ctr"/>
        <c:lblOffset val="100"/>
        <c:noMultiLvlLbl val="0"/>
      </c:catAx>
      <c:valAx>
        <c:axId val="2938694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93869816"/>
        <c:crosses val="autoZero"/>
        <c:crossBetween val="between"/>
      </c:valAx>
      <c:spPr>
        <a:solidFill>
          <a:schemeClr val="bg1">
            <a:lumMod val="95000"/>
          </a:schemeClr>
        </a:solidFill>
        <a:ln>
          <a:noFill/>
        </a:ln>
        <a:effectLst/>
      </c:spPr>
    </c:plotArea>
    <c:plotVisOnly val="1"/>
    <c:dispBlanksAs val="gap"/>
    <c:showDLblsOverMax val="0"/>
  </c:chart>
  <c:spPr>
    <a:no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07728219655162"/>
          <c:y val="3.9486122825588568E-2"/>
          <c:w val="0.86123579643169201"/>
          <c:h val="0.83663212962913336"/>
        </c:manualLayout>
      </c:layout>
      <c:barChart>
        <c:barDir val="col"/>
        <c:grouping val="clustered"/>
        <c:varyColors val="0"/>
        <c:ser>
          <c:idx val="0"/>
          <c:order val="0"/>
          <c:spPr>
            <a:solidFill>
              <a:srgbClr val="FFC000"/>
            </a:solidFill>
            <a:ln>
              <a:noFill/>
            </a:ln>
            <a:effectLst/>
          </c:spPr>
          <c:invertIfNegative val="0"/>
          <c:cat>
            <c:strRef>
              <c:f>Sayfa1!$C$2:$C$6</c:f>
              <c:strCache>
                <c:ptCount val="5"/>
                <c:pt idx="0">
                  <c:v>İSTANBUL</c:v>
                </c:pt>
                <c:pt idx="1">
                  <c:v>BURSA</c:v>
                </c:pt>
                <c:pt idx="2">
                  <c:v>ANKARA</c:v>
                </c:pt>
                <c:pt idx="3">
                  <c:v>GAZİANTEP</c:v>
                </c:pt>
                <c:pt idx="4">
                  <c:v>KAYSERİ</c:v>
                </c:pt>
              </c:strCache>
            </c:strRef>
          </c:cat>
          <c:val>
            <c:numRef>
              <c:f>Sayfa1!$D$2:$D$6</c:f>
              <c:numCache>
                <c:formatCode>General</c:formatCode>
                <c:ptCount val="5"/>
                <c:pt idx="0">
                  <c:v>414903</c:v>
                </c:pt>
                <c:pt idx="1">
                  <c:v>96759</c:v>
                </c:pt>
                <c:pt idx="2">
                  <c:v>62179</c:v>
                </c:pt>
                <c:pt idx="3">
                  <c:v>60584</c:v>
                </c:pt>
                <c:pt idx="4">
                  <c:v>55461</c:v>
                </c:pt>
              </c:numCache>
            </c:numRef>
          </c:val>
          <c:extLst>
            <c:ext xmlns:c16="http://schemas.microsoft.com/office/drawing/2014/chart" uri="{C3380CC4-5D6E-409C-BE32-E72D297353CC}">
              <c16:uniqueId val="{00000000-4D25-43CC-9F73-0C25A6EAB941}"/>
            </c:ext>
          </c:extLst>
        </c:ser>
        <c:dLbls>
          <c:showLegendKey val="0"/>
          <c:showVal val="0"/>
          <c:showCatName val="0"/>
          <c:showSerName val="0"/>
          <c:showPercent val="0"/>
          <c:showBubbleSize val="0"/>
        </c:dLbls>
        <c:gapWidth val="219"/>
        <c:overlap val="-27"/>
        <c:axId val="293867072"/>
        <c:axId val="293867464"/>
      </c:barChart>
      <c:catAx>
        <c:axId val="293867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93867464"/>
        <c:crosses val="autoZero"/>
        <c:auto val="1"/>
        <c:lblAlgn val="ctr"/>
        <c:lblOffset val="100"/>
        <c:noMultiLvlLbl val="0"/>
      </c:catAx>
      <c:valAx>
        <c:axId val="2938674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93867072"/>
        <c:crosses val="autoZero"/>
        <c:crossBetween val="between"/>
        <c:majorUnit val="150000"/>
      </c:valAx>
      <c:spPr>
        <a:solidFill>
          <a:schemeClr val="bg1">
            <a:lumMod val="95000"/>
          </a:schemeClr>
        </a:solid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7030A0"/>
            </a:solidFill>
            <a:ln>
              <a:noFill/>
            </a:ln>
            <a:effectLst/>
          </c:spPr>
          <c:invertIfNegative val="0"/>
          <c:cat>
            <c:strRef>
              <c:f>Sayfa1!$C$78:$C$82</c:f>
              <c:strCache>
                <c:ptCount val="5"/>
                <c:pt idx="0">
                  <c:v>TUNCELİ</c:v>
                </c:pt>
                <c:pt idx="1">
                  <c:v>ARDAHAN</c:v>
                </c:pt>
                <c:pt idx="2">
                  <c:v>SİİRT</c:v>
                </c:pt>
                <c:pt idx="3">
                  <c:v>IĞDIR</c:v>
                </c:pt>
                <c:pt idx="4">
                  <c:v>BİNGÖL</c:v>
                </c:pt>
              </c:strCache>
            </c:strRef>
          </c:cat>
          <c:val>
            <c:numRef>
              <c:f>Sayfa1!$D$78:$D$82</c:f>
              <c:numCache>
                <c:formatCode>General</c:formatCode>
                <c:ptCount val="5"/>
                <c:pt idx="0">
                  <c:v>29</c:v>
                </c:pt>
                <c:pt idx="1">
                  <c:v>18</c:v>
                </c:pt>
                <c:pt idx="2">
                  <c:v>17</c:v>
                </c:pt>
                <c:pt idx="3">
                  <c:v>17</c:v>
                </c:pt>
                <c:pt idx="4">
                  <c:v>11</c:v>
                </c:pt>
              </c:numCache>
            </c:numRef>
          </c:val>
          <c:extLst>
            <c:ext xmlns:c16="http://schemas.microsoft.com/office/drawing/2014/chart" uri="{C3380CC4-5D6E-409C-BE32-E72D297353CC}">
              <c16:uniqueId val="{00000000-7332-4469-B34B-415C155D9C8F}"/>
            </c:ext>
          </c:extLst>
        </c:ser>
        <c:dLbls>
          <c:showLegendKey val="0"/>
          <c:showVal val="0"/>
          <c:showCatName val="0"/>
          <c:showSerName val="0"/>
          <c:showPercent val="0"/>
          <c:showBubbleSize val="0"/>
        </c:dLbls>
        <c:gapWidth val="219"/>
        <c:overlap val="-27"/>
        <c:axId val="404178552"/>
        <c:axId val="404179336"/>
      </c:barChart>
      <c:catAx>
        <c:axId val="404178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04179336"/>
        <c:crosses val="autoZero"/>
        <c:auto val="1"/>
        <c:lblAlgn val="ctr"/>
        <c:lblOffset val="100"/>
        <c:noMultiLvlLbl val="0"/>
      </c:catAx>
      <c:valAx>
        <c:axId val="404179336"/>
        <c:scaling>
          <c:orientation val="minMax"/>
          <c:max val="3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04178552"/>
        <c:crosses val="autoZero"/>
        <c:crossBetween val="between"/>
        <c:majorUnit val="10"/>
      </c:valAx>
      <c:spPr>
        <a:solidFill>
          <a:schemeClr val="bg1">
            <a:lumMod val="95000"/>
          </a:schemeClr>
        </a:solid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B0F0"/>
            </a:solidFill>
            <a:ln>
              <a:noFill/>
            </a:ln>
            <a:effectLst/>
          </c:spPr>
          <c:invertIfNegative val="0"/>
          <c:cat>
            <c:strRef>
              <c:f>Sayfa1!$D$3:$D$12</c:f>
              <c:strCache>
                <c:ptCount val="10"/>
                <c:pt idx="0">
                  <c:v>6.Sınıf</c:v>
                </c:pt>
                <c:pt idx="1">
                  <c:v>32.Sınıf</c:v>
                </c:pt>
                <c:pt idx="2">
                  <c:v>2.Sınıf</c:v>
                </c:pt>
                <c:pt idx="3">
                  <c:v>7.Sınıf</c:v>
                </c:pt>
                <c:pt idx="4">
                  <c:v>25.Sınıf</c:v>
                </c:pt>
                <c:pt idx="5">
                  <c:v>5.Sınıf</c:v>
                </c:pt>
                <c:pt idx="6">
                  <c:v>9.Sınıf</c:v>
                </c:pt>
                <c:pt idx="7">
                  <c:v>11.Sınıf</c:v>
                </c:pt>
                <c:pt idx="8">
                  <c:v>8.Sınıf</c:v>
                </c:pt>
                <c:pt idx="9">
                  <c:v>23.Sınıf</c:v>
                </c:pt>
              </c:strCache>
            </c:strRef>
          </c:cat>
          <c:val>
            <c:numRef>
              <c:f>Sayfa1!$E$3:$E$12</c:f>
              <c:numCache>
                <c:formatCode>General</c:formatCode>
                <c:ptCount val="10"/>
                <c:pt idx="0">
                  <c:v>146651</c:v>
                </c:pt>
                <c:pt idx="1">
                  <c:v>142818</c:v>
                </c:pt>
                <c:pt idx="2">
                  <c:v>78525</c:v>
                </c:pt>
                <c:pt idx="3">
                  <c:v>39690</c:v>
                </c:pt>
                <c:pt idx="4">
                  <c:v>39474</c:v>
                </c:pt>
                <c:pt idx="5">
                  <c:v>37977</c:v>
                </c:pt>
                <c:pt idx="6">
                  <c:v>30826</c:v>
                </c:pt>
                <c:pt idx="7">
                  <c:v>24892</c:v>
                </c:pt>
                <c:pt idx="8">
                  <c:v>23406</c:v>
                </c:pt>
                <c:pt idx="9">
                  <c:v>20685</c:v>
                </c:pt>
              </c:numCache>
            </c:numRef>
          </c:val>
          <c:extLst>
            <c:ext xmlns:c16="http://schemas.microsoft.com/office/drawing/2014/chart" uri="{C3380CC4-5D6E-409C-BE32-E72D297353CC}">
              <c16:uniqueId val="{00000000-4A27-4B9B-9FF5-DC04CA1403B5}"/>
            </c:ext>
          </c:extLst>
        </c:ser>
        <c:dLbls>
          <c:showLegendKey val="0"/>
          <c:showVal val="0"/>
          <c:showCatName val="0"/>
          <c:showSerName val="0"/>
          <c:showPercent val="0"/>
          <c:showBubbleSize val="0"/>
        </c:dLbls>
        <c:gapWidth val="219"/>
        <c:overlap val="-27"/>
        <c:axId val="402106472"/>
        <c:axId val="402107256"/>
      </c:barChart>
      <c:catAx>
        <c:axId val="402106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02107256"/>
        <c:crosses val="autoZero"/>
        <c:auto val="1"/>
        <c:lblAlgn val="ctr"/>
        <c:lblOffset val="100"/>
        <c:noMultiLvlLbl val="0"/>
      </c:catAx>
      <c:valAx>
        <c:axId val="4021072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02106472"/>
        <c:crosses val="autoZero"/>
        <c:crossBetween val="between"/>
        <c:majorUnit val="40000"/>
      </c:valAx>
      <c:spPr>
        <a:solidFill>
          <a:schemeClr val="bg1">
            <a:lumMod val="95000"/>
          </a:schemeClr>
        </a:solid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b="1">
          <a:solidFill>
            <a:schemeClr val="tx1"/>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57016310461193"/>
          <c:y val="6.1984335291421909E-2"/>
          <c:w val="0.85324783620797395"/>
          <c:h val="0.762671426328413"/>
        </c:manualLayout>
      </c:layout>
      <c:lineChart>
        <c:grouping val="standard"/>
        <c:varyColors val="0"/>
        <c:ser>
          <c:idx val="0"/>
          <c:order val="0"/>
          <c:tx>
            <c:strRef>
              <c:f>Sayfa2!$D$2</c:f>
              <c:strCache>
                <c:ptCount val="1"/>
                <c:pt idx="0">
                  <c:v>Türkiye</c:v>
                </c:pt>
              </c:strCache>
            </c:strRef>
          </c:tx>
          <c:spPr>
            <a:ln w="28575" cap="rnd">
              <a:solidFill>
                <a:srgbClr val="00B050"/>
              </a:solidFill>
              <a:round/>
            </a:ln>
            <a:effectLst/>
          </c:spPr>
          <c:marker>
            <c:symbol val="none"/>
          </c:marker>
          <c:cat>
            <c:numRef>
              <c:f>Sayfa2!$C$3:$C$28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Sayfa2!$D$3:$D$28</c:f>
              <c:numCache>
                <c:formatCode>General</c:formatCode>
                <c:ptCount val="26"/>
                <c:pt idx="0">
                  <c:v>2894</c:v>
                </c:pt>
                <c:pt idx="1">
                  <c:v>5765</c:v>
                </c:pt>
                <c:pt idx="2">
                  <c:v>11623</c:v>
                </c:pt>
                <c:pt idx="3">
                  <c:v>8708</c:v>
                </c:pt>
                <c:pt idx="4">
                  <c:v>8178</c:v>
                </c:pt>
                <c:pt idx="5">
                  <c:v>10806</c:v>
                </c:pt>
                <c:pt idx="6">
                  <c:v>14452</c:v>
                </c:pt>
                <c:pt idx="7">
                  <c:v>16098</c:v>
                </c:pt>
                <c:pt idx="8">
                  <c:v>21533</c:v>
                </c:pt>
                <c:pt idx="9">
                  <c:v>21942</c:v>
                </c:pt>
                <c:pt idx="10">
                  <c:v>27963</c:v>
                </c:pt>
                <c:pt idx="11">
                  <c:v>29048</c:v>
                </c:pt>
                <c:pt idx="12">
                  <c:v>27963</c:v>
                </c:pt>
                <c:pt idx="13">
                  <c:v>23765</c:v>
                </c:pt>
                <c:pt idx="14">
                  <c:v>28623</c:v>
                </c:pt>
                <c:pt idx="15">
                  <c:v>31782</c:v>
                </c:pt>
                <c:pt idx="16">
                  <c:v>35954</c:v>
                </c:pt>
                <c:pt idx="17">
                  <c:v>40707</c:v>
                </c:pt>
                <c:pt idx="18">
                  <c:v>41233</c:v>
                </c:pt>
                <c:pt idx="19">
                  <c:v>40859</c:v>
                </c:pt>
                <c:pt idx="20">
                  <c:v>41391</c:v>
                </c:pt>
                <c:pt idx="21">
                  <c:v>37280</c:v>
                </c:pt>
                <c:pt idx="22">
                  <c:v>33708</c:v>
                </c:pt>
                <c:pt idx="23">
                  <c:v>33161</c:v>
                </c:pt>
                <c:pt idx="24">
                  <c:v>38198</c:v>
                </c:pt>
                <c:pt idx="25">
                  <c:v>44278</c:v>
                </c:pt>
              </c:numCache>
            </c:numRef>
          </c:val>
          <c:smooth val="0"/>
          <c:extLst>
            <c:ext xmlns:c16="http://schemas.microsoft.com/office/drawing/2014/chart" uri="{C3380CC4-5D6E-409C-BE32-E72D297353CC}">
              <c16:uniqueId val="{00000000-CBAC-4743-9FFF-A35EF3FE9825}"/>
            </c:ext>
          </c:extLst>
        </c:ser>
        <c:ser>
          <c:idx val="1"/>
          <c:order val="1"/>
          <c:tx>
            <c:strRef>
              <c:f>Sayfa2!$E$2</c:f>
              <c:strCache>
                <c:ptCount val="1"/>
                <c:pt idx="0">
                  <c:v>Yurtdışı</c:v>
                </c:pt>
              </c:strCache>
            </c:strRef>
          </c:tx>
          <c:spPr>
            <a:ln w="28575" cap="rnd">
              <a:solidFill>
                <a:srgbClr val="00B0F0"/>
              </a:solidFill>
              <a:round/>
            </a:ln>
            <a:effectLst/>
          </c:spPr>
          <c:marker>
            <c:symbol val="none"/>
          </c:marker>
          <c:cat>
            <c:numRef>
              <c:f>Sayfa2!$C$3:$C$28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Sayfa2!$E$3:$E$28</c:f>
              <c:numCache>
                <c:formatCode>General</c:formatCode>
                <c:ptCount val="26"/>
                <c:pt idx="0">
                  <c:v>149</c:v>
                </c:pt>
                <c:pt idx="1">
                  <c:v>150</c:v>
                </c:pt>
                <c:pt idx="2">
                  <c:v>456</c:v>
                </c:pt>
                <c:pt idx="3">
                  <c:v>473</c:v>
                </c:pt>
                <c:pt idx="4">
                  <c:v>301</c:v>
                </c:pt>
                <c:pt idx="5">
                  <c:v>677</c:v>
                </c:pt>
                <c:pt idx="6">
                  <c:v>560</c:v>
                </c:pt>
                <c:pt idx="7">
                  <c:v>589</c:v>
                </c:pt>
                <c:pt idx="8">
                  <c:v>977</c:v>
                </c:pt>
                <c:pt idx="9">
                  <c:v>1226</c:v>
                </c:pt>
                <c:pt idx="10">
                  <c:v>1319</c:v>
                </c:pt>
                <c:pt idx="11">
                  <c:v>1341</c:v>
                </c:pt>
                <c:pt idx="12">
                  <c:v>1079</c:v>
                </c:pt>
                <c:pt idx="13">
                  <c:v>1191</c:v>
                </c:pt>
                <c:pt idx="14">
                  <c:v>1061</c:v>
                </c:pt>
                <c:pt idx="15">
                  <c:v>1028</c:v>
                </c:pt>
                <c:pt idx="16">
                  <c:v>1182</c:v>
                </c:pt>
                <c:pt idx="17">
                  <c:v>1388</c:v>
                </c:pt>
                <c:pt idx="18">
                  <c:v>1717</c:v>
                </c:pt>
                <c:pt idx="19">
                  <c:v>1583</c:v>
                </c:pt>
                <c:pt idx="20">
                  <c:v>1355</c:v>
                </c:pt>
                <c:pt idx="21">
                  <c:v>6934</c:v>
                </c:pt>
                <c:pt idx="22">
                  <c:v>6743</c:v>
                </c:pt>
                <c:pt idx="23">
                  <c:v>6728</c:v>
                </c:pt>
                <c:pt idx="24">
                  <c:v>6867</c:v>
                </c:pt>
                <c:pt idx="25">
                  <c:v>5760</c:v>
                </c:pt>
              </c:numCache>
            </c:numRef>
          </c:val>
          <c:smooth val="0"/>
          <c:extLst>
            <c:ext xmlns:c16="http://schemas.microsoft.com/office/drawing/2014/chart" uri="{C3380CC4-5D6E-409C-BE32-E72D297353CC}">
              <c16:uniqueId val="{00000001-CBAC-4743-9FFF-A35EF3FE9825}"/>
            </c:ext>
          </c:extLst>
        </c:ser>
        <c:dLbls>
          <c:showLegendKey val="0"/>
          <c:showVal val="0"/>
          <c:showCatName val="0"/>
          <c:showSerName val="0"/>
          <c:showPercent val="0"/>
          <c:showBubbleSize val="0"/>
        </c:dLbls>
        <c:smooth val="0"/>
        <c:axId val="529145904"/>
        <c:axId val="529148648"/>
      </c:lineChart>
      <c:catAx>
        <c:axId val="52914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529148648"/>
        <c:crosses val="autoZero"/>
        <c:auto val="1"/>
        <c:lblAlgn val="ctr"/>
        <c:lblOffset val="100"/>
        <c:noMultiLvlLbl val="0"/>
      </c:catAx>
      <c:valAx>
        <c:axId val="5291486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solidFill>
                <a:latin typeface="+mn-lt"/>
                <a:ea typeface="+mn-ea"/>
                <a:cs typeface="+mn-cs"/>
              </a:defRPr>
            </a:pPr>
            <a:endParaRPr lang="en-US"/>
          </a:p>
        </c:txPr>
        <c:crossAx val="529145904"/>
        <c:crosses val="autoZero"/>
        <c:crossBetween val="between"/>
        <c:majorUnit val="10000"/>
      </c:valAx>
      <c:spPr>
        <a:solidFill>
          <a:schemeClr val="bg1">
            <a:lumMod val="95000"/>
          </a:schemeClr>
        </a:solidFill>
        <a:ln>
          <a:noFill/>
        </a:ln>
        <a:effectLst/>
      </c:spPr>
    </c:plotArea>
    <c:legend>
      <c:legendPos val="b"/>
      <c:layout>
        <c:manualLayout>
          <c:xMode val="edge"/>
          <c:yMode val="edge"/>
          <c:x val="0.13701041276090489"/>
          <c:y val="9.3832020997375323E-2"/>
          <c:w val="0.382484251968504"/>
          <c:h val="8.3314634245848798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a:solidFill>
            <a:schemeClr val="tx1"/>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580927384077"/>
          <c:y val="5.0925925925925923E-2"/>
          <c:w val="0.86486351706036746"/>
          <c:h val="0.86482283464566934"/>
        </c:manualLayout>
      </c:layout>
      <c:barChart>
        <c:barDir val="col"/>
        <c:grouping val="clustered"/>
        <c:varyColors val="0"/>
        <c:ser>
          <c:idx val="0"/>
          <c:order val="0"/>
          <c:spPr>
            <a:solidFill>
              <a:schemeClr val="accent1"/>
            </a:solidFill>
            <a:ln>
              <a:noFill/>
            </a:ln>
            <a:effectLst/>
          </c:spPr>
          <c:invertIfNegative val="0"/>
          <c:cat>
            <c:strRef>
              <c:f>Sayfa3!$F$4:$F$8</c:f>
              <c:strCache>
                <c:ptCount val="5"/>
                <c:pt idx="0">
                  <c:v>ALMANYA    </c:v>
                </c:pt>
                <c:pt idx="1">
                  <c:v>İTALYA</c:v>
                </c:pt>
                <c:pt idx="2">
                  <c:v>ABD</c:v>
                </c:pt>
                <c:pt idx="3">
                  <c:v>İSVİÇRE</c:v>
                </c:pt>
                <c:pt idx="4">
                  <c:v>FRANSA</c:v>
                </c:pt>
              </c:strCache>
            </c:strRef>
          </c:cat>
          <c:val>
            <c:numRef>
              <c:f>Sayfa3!$G$4:$G$8</c:f>
              <c:numCache>
                <c:formatCode>General</c:formatCode>
                <c:ptCount val="5"/>
                <c:pt idx="0">
                  <c:v>12218</c:v>
                </c:pt>
                <c:pt idx="1">
                  <c:v>6167</c:v>
                </c:pt>
                <c:pt idx="2">
                  <c:v>5787</c:v>
                </c:pt>
                <c:pt idx="3">
                  <c:v>5475</c:v>
                </c:pt>
                <c:pt idx="4">
                  <c:v>3877</c:v>
                </c:pt>
              </c:numCache>
            </c:numRef>
          </c:val>
          <c:extLst>
            <c:ext xmlns:c16="http://schemas.microsoft.com/office/drawing/2014/chart" uri="{C3380CC4-5D6E-409C-BE32-E72D297353CC}">
              <c16:uniqueId val="{00000000-0A16-49D9-9446-1B0A87F89BA4}"/>
            </c:ext>
          </c:extLst>
        </c:ser>
        <c:dLbls>
          <c:showLegendKey val="0"/>
          <c:showVal val="0"/>
          <c:showCatName val="0"/>
          <c:showSerName val="0"/>
          <c:showPercent val="0"/>
          <c:showBubbleSize val="0"/>
        </c:dLbls>
        <c:gapWidth val="219"/>
        <c:overlap val="-27"/>
        <c:axId val="529147080"/>
        <c:axId val="529146688"/>
      </c:barChart>
      <c:catAx>
        <c:axId val="529147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529146688"/>
        <c:crosses val="autoZero"/>
        <c:auto val="1"/>
        <c:lblAlgn val="ctr"/>
        <c:lblOffset val="100"/>
        <c:noMultiLvlLbl val="0"/>
      </c:catAx>
      <c:valAx>
        <c:axId val="529146688"/>
        <c:scaling>
          <c:orientation val="minMax"/>
          <c:max val="130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529147080"/>
        <c:crosses val="autoZero"/>
        <c:crossBetween val="between"/>
        <c:majorUnit val="3500"/>
      </c:valAx>
      <c:spPr>
        <a:solidFill>
          <a:schemeClr val="bg1">
            <a:lumMod val="95000"/>
          </a:schemeClr>
        </a:solid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977</Words>
  <Characters>5573</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2024-02-13T12:48:00Z</dcterms:created>
  <dcterms:modified xsi:type="dcterms:W3CDTF">2024-02-13T12:49:00Z</dcterms:modified>
</cp:coreProperties>
</file>