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4B8" w:rsidRPr="00E92F8F" w:rsidRDefault="001C04B8" w:rsidP="001C04B8">
      <w:pPr>
        <w:spacing w:before="120" w:after="120" w:line="264" w:lineRule="auto"/>
        <w:jc w:val="right"/>
        <w:rPr>
          <w:rFonts w:cstheme="minorHAnsi"/>
          <w:b/>
          <w:bCs/>
          <w:iCs/>
          <w:sz w:val="24"/>
          <w:szCs w:val="24"/>
          <w:lang w:val="tr-TR"/>
        </w:rPr>
      </w:pPr>
      <w:r w:rsidRPr="00E92F8F">
        <w:rPr>
          <w:rFonts w:cstheme="minorHAnsi"/>
          <w:b/>
          <w:sz w:val="24"/>
          <w:szCs w:val="24"/>
          <w:lang w:val="tr-TR"/>
        </w:rPr>
        <w:t>Doç. Dr. Cahit Suluk</w:t>
      </w:r>
      <w:r w:rsidRPr="00E92F8F">
        <w:rPr>
          <w:rFonts w:cstheme="minorHAnsi"/>
          <w:b/>
          <w:bCs/>
          <w:iCs/>
          <w:sz w:val="24"/>
          <w:szCs w:val="24"/>
          <w:lang w:val="tr-TR"/>
        </w:rPr>
        <w:t xml:space="preserve">* </w:t>
      </w:r>
    </w:p>
    <w:p w:rsidR="001C04B8" w:rsidRPr="00E92F8F" w:rsidRDefault="001C04B8" w:rsidP="001C04B8">
      <w:pPr>
        <w:spacing w:before="120" w:after="120" w:line="264" w:lineRule="auto"/>
        <w:jc w:val="right"/>
        <w:rPr>
          <w:rFonts w:cstheme="minorHAnsi"/>
          <w:b/>
          <w:bCs/>
          <w:i/>
          <w:iCs/>
          <w:sz w:val="24"/>
          <w:szCs w:val="24"/>
          <w:lang w:val="tr-TR"/>
        </w:rPr>
      </w:pPr>
      <w:r w:rsidRPr="00E92F8F">
        <w:rPr>
          <w:rFonts w:cstheme="minorHAnsi"/>
          <w:b/>
          <w:bCs/>
          <w:i/>
          <w:iCs/>
          <w:sz w:val="24"/>
          <w:szCs w:val="24"/>
          <w:lang w:val="tr-TR"/>
        </w:rPr>
        <w:t xml:space="preserve">AIPPI Türkiye / Fikri Mülkiyet Hakları Koruma </w:t>
      </w:r>
      <w:proofErr w:type="spellStart"/>
      <w:r w:rsidRPr="00E92F8F">
        <w:rPr>
          <w:rFonts w:cstheme="minorHAnsi"/>
          <w:b/>
          <w:bCs/>
          <w:i/>
          <w:iCs/>
          <w:sz w:val="24"/>
          <w:szCs w:val="24"/>
          <w:lang w:val="tr-TR"/>
        </w:rPr>
        <w:t>Derneği</w:t>
      </w:r>
      <w:proofErr w:type="spellEnd"/>
      <w:r w:rsidRPr="00E92F8F">
        <w:rPr>
          <w:rFonts w:cstheme="minorHAnsi"/>
          <w:b/>
          <w:bCs/>
          <w:i/>
          <w:iCs/>
          <w:sz w:val="24"/>
          <w:szCs w:val="24"/>
          <w:lang w:val="tr-TR"/>
        </w:rPr>
        <w:t xml:space="preserve"> Üyesi</w:t>
      </w:r>
    </w:p>
    <w:p w:rsidR="001C04B8" w:rsidRPr="00241592" w:rsidRDefault="001C04B8" w:rsidP="001C04B8">
      <w:pPr>
        <w:spacing w:before="120" w:after="120" w:line="264" w:lineRule="auto"/>
        <w:jc w:val="center"/>
        <w:rPr>
          <w:rFonts w:cstheme="minorHAnsi"/>
          <w:b/>
          <w:bCs/>
          <w:iCs/>
          <w:sz w:val="26"/>
          <w:szCs w:val="26"/>
          <w:lang w:val="tr-TR"/>
        </w:rPr>
      </w:pPr>
      <w:bookmarkStart w:id="0" w:name="_GoBack"/>
      <w:r w:rsidRPr="00241592">
        <w:rPr>
          <w:rFonts w:cstheme="minorHAnsi"/>
          <w:b/>
          <w:bCs/>
          <w:iCs/>
          <w:sz w:val="26"/>
          <w:szCs w:val="26"/>
          <w:lang w:val="tr-TR"/>
        </w:rPr>
        <w:t>Dijitalleşmenin Getirdiği Telif Sorunları ve Avrupa Birliği’nde Çare Arayışları</w:t>
      </w:r>
    </w:p>
    <w:bookmarkEnd w:id="0"/>
    <w:p w:rsidR="001C04B8" w:rsidRPr="004A50FF" w:rsidRDefault="001C04B8" w:rsidP="001C04B8">
      <w:pPr>
        <w:spacing w:before="120" w:after="120" w:line="264" w:lineRule="auto"/>
        <w:jc w:val="center"/>
        <w:rPr>
          <w:rFonts w:cstheme="minorHAnsi"/>
          <w:b/>
          <w:bCs/>
          <w:sz w:val="24"/>
          <w:szCs w:val="24"/>
          <w:lang w:val="tr-TR"/>
        </w:rPr>
      </w:pPr>
      <w:r w:rsidRPr="004A50FF">
        <w:rPr>
          <w:rFonts w:cstheme="minorHAnsi"/>
          <w:b/>
          <w:bCs/>
          <w:sz w:val="24"/>
          <w:szCs w:val="24"/>
          <w:lang w:val="tr-TR"/>
        </w:rPr>
        <w:t>-I-</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İçinde yaşadığımız bilgi çağında “bilgi”; kültür, sanat ve ekonomi gibi hayatımızın hemen her alanını derinden etkiledi, etkiliyor. </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Bilgi, metalaştı ve mülkiyete konu oldu. Üretimde kol gücünün yerini büyük ölçüde beyin gücü aldı. Buna bağlı olarak fiziki üretimden ziyade bilginin paraya tahvili merkeze oturdu. Bu süreç Bilgi Sermayesi ve Bilgi Ekonomisi gibi kavramları doğurdu. Özetle, günümüzde zenginlik bilgiyle ölçülür hale geldi. </w:t>
      </w:r>
      <w:proofErr w:type="spellStart"/>
      <w:r w:rsidRPr="004A50FF">
        <w:rPr>
          <w:rFonts w:cstheme="minorHAnsi"/>
          <w:sz w:val="24"/>
          <w:szCs w:val="24"/>
          <w:lang w:val="tr-TR"/>
        </w:rPr>
        <w:t>S&amp;P’nin</w:t>
      </w:r>
      <w:proofErr w:type="spellEnd"/>
      <w:r w:rsidRPr="004A50FF">
        <w:rPr>
          <w:rFonts w:cstheme="minorHAnsi"/>
          <w:sz w:val="24"/>
          <w:szCs w:val="24"/>
          <w:lang w:val="tr-TR"/>
        </w:rPr>
        <w:t xml:space="preserve"> araştırmasına göre dünyanın ilk 500 şirketinin varlıklarının %90’ı “</w:t>
      </w:r>
      <w:proofErr w:type="spellStart"/>
      <w:r w:rsidRPr="004A50FF">
        <w:rPr>
          <w:rFonts w:cstheme="minorHAnsi"/>
          <w:sz w:val="24"/>
          <w:szCs w:val="24"/>
          <w:lang w:val="tr-TR"/>
        </w:rPr>
        <w:t>bilgi”ye</w:t>
      </w:r>
      <w:proofErr w:type="spellEnd"/>
      <w:r w:rsidRPr="004A50FF">
        <w:rPr>
          <w:rFonts w:cstheme="minorHAnsi"/>
          <w:sz w:val="24"/>
          <w:szCs w:val="24"/>
          <w:lang w:val="tr-TR"/>
        </w:rPr>
        <w:t xml:space="preserve"> dayanıyor</w:t>
      </w:r>
      <w:r w:rsidRPr="004A50FF">
        <w:rPr>
          <w:rStyle w:val="DipnotBavurusu"/>
          <w:rFonts w:cstheme="minorHAnsi"/>
          <w:sz w:val="24"/>
          <w:szCs w:val="24"/>
          <w:lang w:val="tr-TR"/>
        </w:rPr>
        <w:footnoteReference w:id="1"/>
      </w:r>
      <w:r w:rsidRPr="004A50FF">
        <w:rPr>
          <w:rFonts w:cstheme="minorHAnsi"/>
          <w:sz w:val="24"/>
          <w:szCs w:val="24"/>
          <w:lang w:val="tr-TR"/>
        </w:rPr>
        <w:t>:</w:t>
      </w:r>
    </w:p>
    <w:p w:rsidR="001C04B8" w:rsidRPr="004A50FF" w:rsidRDefault="001C04B8" w:rsidP="001C04B8">
      <w:pPr>
        <w:spacing w:before="120" w:after="120" w:line="264" w:lineRule="auto"/>
        <w:jc w:val="center"/>
        <w:rPr>
          <w:rFonts w:cstheme="minorHAnsi"/>
          <w:sz w:val="24"/>
          <w:szCs w:val="24"/>
          <w:lang w:val="tr-TR"/>
        </w:rPr>
      </w:pPr>
      <w:r w:rsidRPr="004A50FF">
        <w:rPr>
          <w:rFonts w:cstheme="minorHAnsi"/>
          <w:noProof/>
          <w:sz w:val="24"/>
          <w:szCs w:val="24"/>
        </w:rPr>
        <w:drawing>
          <wp:inline distT="0" distB="0" distL="0" distR="0" wp14:anchorId="6C9E69FC" wp14:editId="1454C89C">
            <wp:extent cx="2757868" cy="2757868"/>
            <wp:effectExtent l="0" t="0" r="4445"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0298" cy="2770298"/>
                    </a:xfrm>
                    <a:prstGeom prst="rect">
                      <a:avLst/>
                    </a:prstGeom>
                    <a:noFill/>
                    <a:ln>
                      <a:noFill/>
                    </a:ln>
                  </pic:spPr>
                </pic:pic>
              </a:graphicData>
            </a:graphic>
          </wp:inline>
        </w:drawing>
      </w:r>
      <w:r w:rsidRPr="004A50FF">
        <w:rPr>
          <w:rFonts w:cstheme="minorHAnsi"/>
          <w:sz w:val="24"/>
          <w:szCs w:val="24"/>
          <w:lang w:val="tr-TR"/>
        </w:rPr>
        <w:t xml:space="preserve">  </w:t>
      </w:r>
      <w:r w:rsidRPr="004A50FF">
        <w:rPr>
          <w:rFonts w:cstheme="minorHAnsi"/>
          <w:noProof/>
          <w:sz w:val="24"/>
          <w:szCs w:val="24"/>
        </w:rPr>
        <w:drawing>
          <wp:inline distT="0" distB="0" distL="0" distR="0" wp14:anchorId="13A0B70E" wp14:editId="179B5846">
            <wp:extent cx="2628265" cy="2747921"/>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6934" cy="2756985"/>
                    </a:xfrm>
                    <a:prstGeom prst="rect">
                      <a:avLst/>
                    </a:prstGeom>
                    <a:noFill/>
                  </pic:spPr>
                </pic:pic>
              </a:graphicData>
            </a:graphic>
          </wp:inline>
        </w:drawing>
      </w:r>
    </w:p>
    <w:p w:rsidR="001C04B8" w:rsidRPr="004A50FF" w:rsidRDefault="001C04B8" w:rsidP="001C04B8">
      <w:pPr>
        <w:spacing w:before="120" w:after="120" w:line="264" w:lineRule="auto"/>
        <w:jc w:val="center"/>
        <w:rPr>
          <w:rFonts w:cstheme="minorHAnsi"/>
          <w:b/>
          <w:bCs/>
          <w:sz w:val="24"/>
          <w:szCs w:val="24"/>
          <w:lang w:val="tr-TR"/>
        </w:rPr>
      </w:pPr>
    </w:p>
    <w:p w:rsidR="001C04B8" w:rsidRPr="004A50FF" w:rsidRDefault="001C04B8" w:rsidP="001C04B8">
      <w:pPr>
        <w:spacing w:before="120" w:after="120" w:line="264" w:lineRule="auto"/>
        <w:jc w:val="center"/>
        <w:rPr>
          <w:rFonts w:cstheme="minorHAnsi"/>
          <w:b/>
          <w:bCs/>
          <w:sz w:val="24"/>
          <w:szCs w:val="24"/>
          <w:lang w:val="tr-TR"/>
        </w:rPr>
      </w:pPr>
      <w:r w:rsidRPr="004A50FF">
        <w:rPr>
          <w:rFonts w:cstheme="minorHAnsi"/>
          <w:b/>
          <w:bCs/>
          <w:sz w:val="24"/>
          <w:szCs w:val="24"/>
          <w:lang w:val="tr-TR"/>
        </w:rPr>
        <w:t>-II-</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Tarihsel süreçte sanayileşme, modern anlamdaki fikri mülkiyet korumasını doğurdu. 1990’lı yıllarda küreselleşme ve bilişim teknolojilerindeki gelişmeye bağlı olarak (özellikle DTÖ/</w:t>
      </w:r>
      <w:proofErr w:type="spellStart"/>
      <w:r w:rsidRPr="004A50FF">
        <w:rPr>
          <w:rFonts w:cstheme="minorHAnsi"/>
          <w:sz w:val="24"/>
          <w:szCs w:val="24"/>
          <w:lang w:val="tr-TR"/>
        </w:rPr>
        <w:t>TRIPS’in</w:t>
      </w:r>
      <w:proofErr w:type="spellEnd"/>
      <w:r w:rsidRPr="004A50FF">
        <w:rPr>
          <w:rFonts w:cstheme="minorHAnsi"/>
          <w:sz w:val="24"/>
          <w:szCs w:val="24"/>
          <w:lang w:val="tr-TR"/>
        </w:rPr>
        <w:t xml:space="preserve"> etkisiyle) fikri mülkiyet hakları yeni bir aşama kaydetti. Günümüzde fikri mülkiyet hukuku, katma değerli ekonominin hukuki alt yapısını oluşturuyor.</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Ekonomide üretim ve katma değerin dijitale kayması en fazla ilim-edebiyat, musiki, güzel sanat ve sinema gibi telife konu fikri ürünleri etkiledi. Bugün müzik ve sinema hemen tümüyle dijitalleşti. İlim-edebiyat ve hatta NFT gibi yeni teknolojiler sayesinde güzel sanat eserleri de dijitalleşti, dijitalleşiyor. Yaşanan bu baş döndürücü süreç pek çok telif sorununu doğurdu. Bu sorunların üstesinden gelebilmek adına dünya genelinde yasa koyucular yoğun çaba sarf ediyor.</w:t>
      </w:r>
    </w:p>
    <w:p w:rsidR="001C04B8" w:rsidRPr="004A50FF" w:rsidRDefault="001C04B8" w:rsidP="001C04B8">
      <w:pPr>
        <w:spacing w:before="120" w:after="120" w:line="264" w:lineRule="auto"/>
        <w:jc w:val="center"/>
        <w:rPr>
          <w:rFonts w:cstheme="minorHAnsi"/>
          <w:b/>
          <w:bCs/>
          <w:sz w:val="24"/>
          <w:szCs w:val="24"/>
          <w:lang w:val="tr-TR"/>
        </w:rPr>
      </w:pPr>
      <w:r w:rsidRPr="004A50FF">
        <w:rPr>
          <w:rFonts w:cstheme="minorHAnsi"/>
          <w:b/>
          <w:bCs/>
          <w:sz w:val="24"/>
          <w:szCs w:val="24"/>
          <w:lang w:val="tr-TR"/>
        </w:rPr>
        <w:lastRenderedPageBreak/>
        <w:t>-III-</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Yirmi yedi üyesi bulunan Avrupa Birliğinde (AB) </w:t>
      </w:r>
      <w:r w:rsidRPr="004A50FF">
        <w:rPr>
          <w:rFonts w:cstheme="minorHAnsi"/>
          <w:i/>
          <w:iCs/>
          <w:sz w:val="24"/>
          <w:szCs w:val="24"/>
          <w:lang w:val="tr-TR"/>
        </w:rPr>
        <w:t>kişilerin</w:t>
      </w:r>
      <w:r w:rsidRPr="004A50FF">
        <w:rPr>
          <w:rFonts w:cstheme="minorHAnsi"/>
          <w:sz w:val="24"/>
          <w:szCs w:val="24"/>
          <w:lang w:val="tr-TR"/>
        </w:rPr>
        <w:t xml:space="preserve">, </w:t>
      </w:r>
      <w:r w:rsidRPr="004A50FF">
        <w:rPr>
          <w:rFonts w:cstheme="minorHAnsi"/>
          <w:i/>
          <w:iCs/>
          <w:sz w:val="24"/>
          <w:szCs w:val="24"/>
          <w:lang w:val="tr-TR"/>
        </w:rPr>
        <w:t>sermayenin</w:t>
      </w:r>
      <w:r w:rsidRPr="004A50FF">
        <w:rPr>
          <w:rFonts w:cstheme="minorHAnsi"/>
          <w:sz w:val="24"/>
          <w:szCs w:val="24"/>
          <w:lang w:val="tr-TR"/>
        </w:rPr>
        <w:t xml:space="preserve">, </w:t>
      </w:r>
      <w:r w:rsidRPr="004A50FF">
        <w:rPr>
          <w:rFonts w:cstheme="minorHAnsi"/>
          <w:i/>
          <w:iCs/>
          <w:sz w:val="24"/>
          <w:szCs w:val="24"/>
          <w:lang w:val="tr-TR"/>
        </w:rPr>
        <w:t>malların</w:t>
      </w:r>
      <w:r w:rsidRPr="004A50FF">
        <w:rPr>
          <w:rFonts w:cstheme="minorHAnsi"/>
          <w:sz w:val="24"/>
          <w:szCs w:val="24"/>
          <w:lang w:val="tr-TR"/>
        </w:rPr>
        <w:t xml:space="preserve"> ve </w:t>
      </w:r>
      <w:r w:rsidRPr="004A50FF">
        <w:rPr>
          <w:rFonts w:cstheme="minorHAnsi"/>
          <w:i/>
          <w:iCs/>
          <w:sz w:val="24"/>
          <w:szCs w:val="24"/>
          <w:lang w:val="tr-TR"/>
        </w:rPr>
        <w:t>hizmetlerin</w:t>
      </w:r>
      <w:r w:rsidRPr="004A50FF">
        <w:rPr>
          <w:rFonts w:cstheme="minorHAnsi"/>
          <w:sz w:val="24"/>
          <w:szCs w:val="24"/>
          <w:lang w:val="tr-TR"/>
        </w:rPr>
        <w:t xml:space="preserve"> serbest dolaşımı ilkeleri benimsendi. Birlik içinde ekonomik </w:t>
      </w:r>
      <w:proofErr w:type="gramStart"/>
      <w:r w:rsidRPr="004A50FF">
        <w:rPr>
          <w:rFonts w:cstheme="minorHAnsi"/>
          <w:sz w:val="24"/>
          <w:szCs w:val="24"/>
          <w:lang w:val="tr-TR"/>
        </w:rPr>
        <w:t>entegrasyonun</w:t>
      </w:r>
      <w:proofErr w:type="gramEnd"/>
      <w:r w:rsidRPr="004A50FF">
        <w:rPr>
          <w:rFonts w:cstheme="minorHAnsi"/>
          <w:sz w:val="24"/>
          <w:szCs w:val="24"/>
          <w:lang w:val="tr-TR"/>
        </w:rPr>
        <w:t xml:space="preserve"> sağlanması için büyük çaba sarf eden AB, sözünü ettiğimiz gelişmeler üzerine </w:t>
      </w:r>
      <w:r w:rsidRPr="004A50FF">
        <w:rPr>
          <w:rFonts w:cstheme="minorHAnsi"/>
          <w:b/>
          <w:bCs/>
          <w:i/>
          <w:iCs/>
          <w:sz w:val="24"/>
          <w:szCs w:val="24"/>
          <w:lang w:val="tr-TR"/>
        </w:rPr>
        <w:t>Dijital Tek Pazar</w:t>
      </w:r>
      <w:r w:rsidRPr="004A50FF">
        <w:rPr>
          <w:rFonts w:cstheme="minorHAnsi"/>
          <w:sz w:val="24"/>
          <w:szCs w:val="24"/>
          <w:lang w:val="tr-TR"/>
        </w:rPr>
        <w:t xml:space="preserve"> </w:t>
      </w:r>
      <w:r w:rsidRPr="004A50FF">
        <w:rPr>
          <w:rFonts w:cstheme="minorHAnsi"/>
          <w:i/>
          <w:iCs/>
          <w:sz w:val="24"/>
          <w:szCs w:val="24"/>
          <w:lang w:val="tr-TR"/>
        </w:rPr>
        <w:t>(</w:t>
      </w:r>
      <w:proofErr w:type="spellStart"/>
      <w:r w:rsidRPr="004A50FF">
        <w:rPr>
          <w:rFonts w:cstheme="minorHAnsi"/>
          <w:i/>
          <w:iCs/>
          <w:sz w:val="24"/>
          <w:szCs w:val="24"/>
          <w:lang w:val="tr-TR"/>
        </w:rPr>
        <w:t>Digital</w:t>
      </w:r>
      <w:proofErr w:type="spellEnd"/>
      <w:r w:rsidRPr="004A50FF">
        <w:rPr>
          <w:rFonts w:cstheme="minorHAnsi"/>
          <w:i/>
          <w:iCs/>
          <w:sz w:val="24"/>
          <w:szCs w:val="24"/>
          <w:lang w:val="tr-TR"/>
        </w:rPr>
        <w:t xml:space="preserve"> </w:t>
      </w:r>
      <w:proofErr w:type="spellStart"/>
      <w:r w:rsidRPr="004A50FF">
        <w:rPr>
          <w:rFonts w:cstheme="minorHAnsi"/>
          <w:i/>
          <w:iCs/>
          <w:sz w:val="24"/>
          <w:szCs w:val="24"/>
          <w:lang w:val="tr-TR"/>
        </w:rPr>
        <w:t>Single</w:t>
      </w:r>
      <w:proofErr w:type="spellEnd"/>
      <w:r w:rsidRPr="004A50FF">
        <w:rPr>
          <w:rFonts w:cstheme="minorHAnsi"/>
          <w:i/>
          <w:iCs/>
          <w:sz w:val="24"/>
          <w:szCs w:val="24"/>
          <w:lang w:val="tr-TR"/>
        </w:rPr>
        <w:t xml:space="preserve"> Market)</w:t>
      </w:r>
      <w:r w:rsidRPr="004A50FF">
        <w:rPr>
          <w:rFonts w:cstheme="minorHAnsi"/>
          <w:sz w:val="24"/>
          <w:szCs w:val="24"/>
          <w:lang w:val="tr-TR"/>
        </w:rPr>
        <w:t xml:space="preserve"> kurmak amacıyla 2000 yılında </w:t>
      </w:r>
      <w:r w:rsidRPr="004A50FF">
        <w:rPr>
          <w:rFonts w:cstheme="minorHAnsi"/>
          <w:i/>
          <w:iCs/>
          <w:sz w:val="24"/>
          <w:szCs w:val="24"/>
          <w:lang w:val="tr-TR"/>
        </w:rPr>
        <w:t>Lizbon Stratejisi</w:t>
      </w:r>
      <w:r w:rsidRPr="004A50FF">
        <w:rPr>
          <w:rFonts w:cstheme="minorHAnsi"/>
          <w:sz w:val="24"/>
          <w:szCs w:val="24"/>
          <w:lang w:val="tr-TR"/>
        </w:rPr>
        <w:t xml:space="preserve">, 2010 yılında </w:t>
      </w:r>
      <w:r w:rsidRPr="004A50FF">
        <w:rPr>
          <w:rFonts w:cstheme="minorHAnsi"/>
          <w:i/>
          <w:iCs/>
          <w:sz w:val="24"/>
          <w:szCs w:val="24"/>
          <w:lang w:val="tr-TR"/>
        </w:rPr>
        <w:t>2020</w:t>
      </w:r>
      <w:r w:rsidRPr="004A50FF">
        <w:rPr>
          <w:rFonts w:cstheme="minorHAnsi"/>
          <w:sz w:val="24"/>
          <w:szCs w:val="24"/>
          <w:lang w:val="tr-TR"/>
        </w:rPr>
        <w:t xml:space="preserve"> </w:t>
      </w:r>
      <w:r w:rsidRPr="004A50FF">
        <w:rPr>
          <w:rFonts w:cstheme="minorHAnsi"/>
          <w:i/>
          <w:iCs/>
          <w:sz w:val="24"/>
          <w:szCs w:val="24"/>
          <w:lang w:val="tr-TR"/>
        </w:rPr>
        <w:t>Avrupa Stratejisi</w:t>
      </w:r>
      <w:r w:rsidRPr="004A50FF">
        <w:rPr>
          <w:rFonts w:cstheme="minorHAnsi"/>
          <w:sz w:val="24"/>
          <w:szCs w:val="24"/>
          <w:lang w:val="tr-TR"/>
        </w:rPr>
        <w:t xml:space="preserve"> ve 2015 yılında da </w:t>
      </w:r>
      <w:r w:rsidRPr="004A50FF">
        <w:rPr>
          <w:rFonts w:cstheme="minorHAnsi"/>
          <w:i/>
          <w:iCs/>
          <w:sz w:val="24"/>
          <w:szCs w:val="24"/>
          <w:lang w:val="tr-TR"/>
        </w:rPr>
        <w:t>Dijital Tek Pazar Strateji Belgesi</w:t>
      </w:r>
      <w:r w:rsidRPr="004A50FF">
        <w:rPr>
          <w:rFonts w:cstheme="minorHAnsi"/>
          <w:sz w:val="24"/>
          <w:szCs w:val="24"/>
          <w:lang w:val="tr-TR"/>
        </w:rPr>
        <w:t xml:space="preserve">’ni kabul etti. </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AB’deki bu strateji belgeleri ekseninde pek çok metin hazırlandı</w:t>
      </w:r>
      <w:r w:rsidRPr="004A50FF">
        <w:rPr>
          <w:rStyle w:val="DipnotBavurusu"/>
          <w:rFonts w:cstheme="minorHAnsi"/>
          <w:sz w:val="24"/>
          <w:szCs w:val="24"/>
          <w:lang w:val="tr-TR"/>
        </w:rPr>
        <w:footnoteReference w:id="2"/>
      </w:r>
      <w:r w:rsidRPr="004A50FF">
        <w:rPr>
          <w:rFonts w:cstheme="minorHAnsi"/>
          <w:sz w:val="24"/>
          <w:szCs w:val="24"/>
          <w:lang w:val="tr-TR"/>
        </w:rPr>
        <w:t>. Dijital Hizmetler Kanunu (DSA), Dijital Tek Pazar Kanunu (DMA), Yapay Zekâ Kanunu (AIA) ve konumuzla doğrudan ilgili olan Dijital Tek Pazar Yönergesi (DSMD) en dikkat çekici metinlerdir. Bu yoğun tempo, alanın uzmanı olan hukukçuları yorgun düşürdü. O kadar ki hukukçular bu çalışmaları takipte güçlük çekmeye başladı.</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AB ne yapmaya çalışıyor? AB’yi bu yola sevk eden etmenler nelerdir? Vurgulayalım ki AB dijital geleceğini biçimlendirerek kendi içinde </w:t>
      </w:r>
      <w:r w:rsidRPr="004A50FF">
        <w:rPr>
          <w:rFonts w:cstheme="minorHAnsi"/>
          <w:i/>
          <w:iCs/>
          <w:sz w:val="24"/>
          <w:szCs w:val="24"/>
          <w:lang w:val="tr-TR"/>
        </w:rPr>
        <w:t>Dijital Tek Pazar</w:t>
      </w:r>
      <w:r w:rsidRPr="004A50FF">
        <w:rPr>
          <w:rFonts w:cstheme="minorHAnsi"/>
          <w:sz w:val="24"/>
          <w:szCs w:val="24"/>
          <w:lang w:val="tr-TR"/>
        </w:rPr>
        <w:t xml:space="preserve"> kurmaya çabalıyor. AB, üye ülke telif hukuklarındaki farklılıkları gidermeyi ve yenilikçiliği teşvik etmeyi hedefliyor. AB, kültürel farklılığı koruyarak gerek tüketicilerin gerekse ticari kuruluşların dijital içerik ve hizmetlere daha kolay erişimini sağlamayı amaçlıyor. Altını çizelim ki, birlik içinde dijitalleşmenin önündeki engellerin kaldırılmasının yanında, AB’yi bu işe özellikle ABD’nin </w:t>
      </w:r>
      <w:proofErr w:type="spellStart"/>
      <w:r w:rsidRPr="004A50FF">
        <w:rPr>
          <w:rFonts w:cstheme="minorHAnsi"/>
          <w:sz w:val="24"/>
          <w:szCs w:val="24"/>
          <w:lang w:val="tr-TR"/>
        </w:rPr>
        <w:t>GAFA’sı</w:t>
      </w:r>
      <w:proofErr w:type="spellEnd"/>
      <w:r w:rsidRPr="004A50FF">
        <w:rPr>
          <w:rFonts w:cstheme="minorHAnsi"/>
          <w:sz w:val="24"/>
          <w:szCs w:val="24"/>
          <w:lang w:val="tr-TR"/>
        </w:rPr>
        <w:t xml:space="preserve"> (Google, Amazon, Facebook ve Apple)</w:t>
      </w:r>
      <w:r w:rsidRPr="004A50FF">
        <w:rPr>
          <w:rStyle w:val="DipnotBavurusu"/>
          <w:rFonts w:cstheme="minorHAnsi"/>
          <w:sz w:val="24"/>
          <w:szCs w:val="24"/>
          <w:lang w:val="tr-TR"/>
        </w:rPr>
        <w:footnoteReference w:id="3"/>
      </w:r>
      <w:r w:rsidRPr="004A50FF">
        <w:rPr>
          <w:rFonts w:cstheme="minorHAnsi"/>
          <w:sz w:val="24"/>
          <w:szCs w:val="24"/>
          <w:lang w:val="tr-TR"/>
        </w:rPr>
        <w:t xml:space="preserve"> sevk etti, hatta mecbur bıraktı.</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Strateji belgeleri ekseninde hazırlanan hukuki metinler, esas olarak ekonomik/ticari aktivitelerle ilgili olmakla birlikte kültür-sanattan kişilik haklarına kadar hayatın pek çok alanına dokunuyor. Konuyu dağıtmamak adına elinizdeki çalışma, Dijital Tek Pazar’a dönük düzenlemelerin sadece </w:t>
      </w:r>
      <w:r w:rsidRPr="004A50FF">
        <w:rPr>
          <w:rFonts w:cstheme="minorHAnsi"/>
          <w:b/>
          <w:bCs/>
          <w:sz w:val="24"/>
          <w:szCs w:val="24"/>
          <w:lang w:val="tr-TR"/>
        </w:rPr>
        <w:t>telif hakları</w:t>
      </w:r>
      <w:r w:rsidRPr="004A50FF">
        <w:rPr>
          <w:rFonts w:cstheme="minorHAnsi"/>
          <w:sz w:val="24"/>
          <w:szCs w:val="24"/>
          <w:lang w:val="tr-TR"/>
        </w:rPr>
        <w:t xml:space="preserve"> boyutuna özgülendi.</w:t>
      </w:r>
    </w:p>
    <w:p w:rsidR="001C04B8" w:rsidRPr="004A50FF" w:rsidRDefault="001C04B8" w:rsidP="001C04B8">
      <w:pPr>
        <w:spacing w:before="120" w:after="120" w:line="264" w:lineRule="auto"/>
        <w:jc w:val="center"/>
        <w:rPr>
          <w:rFonts w:cstheme="minorHAnsi"/>
          <w:b/>
          <w:bCs/>
          <w:sz w:val="24"/>
          <w:szCs w:val="24"/>
          <w:lang w:val="tr-TR"/>
        </w:rPr>
      </w:pPr>
      <w:r w:rsidRPr="004A50FF">
        <w:rPr>
          <w:rFonts w:cstheme="minorHAnsi"/>
          <w:b/>
          <w:bCs/>
          <w:sz w:val="24"/>
          <w:szCs w:val="24"/>
          <w:lang w:val="tr-TR"/>
        </w:rPr>
        <w:t>-IV-</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Eser veya bağlantılı hak konularının üçüncü kişiler tarafından kullanılmasının bir karşılığı olarak telif hakkı sahipleri temelde dört modelle tazmin ediliyor</w:t>
      </w:r>
      <w:r w:rsidRPr="004A50FF">
        <w:rPr>
          <w:rStyle w:val="DipnotBavurusu"/>
          <w:rFonts w:cstheme="minorHAnsi"/>
          <w:sz w:val="24"/>
          <w:szCs w:val="24"/>
          <w:lang w:val="tr-TR"/>
        </w:rPr>
        <w:footnoteReference w:id="4"/>
      </w:r>
      <w:r w:rsidRPr="004A50FF">
        <w:rPr>
          <w:rFonts w:cstheme="minorHAnsi"/>
          <w:sz w:val="24"/>
          <w:szCs w:val="24"/>
          <w:lang w:val="tr-TR"/>
        </w:rPr>
        <w:t xml:space="preserve">: </w:t>
      </w:r>
      <w:r w:rsidRPr="004A50FF">
        <w:rPr>
          <w:rFonts w:cstheme="minorHAnsi"/>
          <w:i/>
          <w:iCs/>
          <w:sz w:val="24"/>
          <w:szCs w:val="24"/>
          <w:lang w:val="tr-TR"/>
        </w:rPr>
        <w:t>i)</w:t>
      </w:r>
      <w:r w:rsidRPr="004A50FF">
        <w:rPr>
          <w:rFonts w:cstheme="minorHAnsi"/>
          <w:sz w:val="24"/>
          <w:szCs w:val="24"/>
          <w:lang w:val="tr-TR"/>
        </w:rPr>
        <w:t xml:space="preserve"> Münhasır haklar, </w:t>
      </w:r>
      <w:r w:rsidRPr="004A50FF">
        <w:rPr>
          <w:rFonts w:cstheme="minorHAnsi"/>
          <w:i/>
          <w:iCs/>
          <w:sz w:val="24"/>
          <w:szCs w:val="24"/>
          <w:lang w:val="tr-TR"/>
        </w:rPr>
        <w:t>ii)</w:t>
      </w:r>
      <w:r w:rsidRPr="004A50FF">
        <w:rPr>
          <w:rFonts w:cstheme="minorHAnsi"/>
          <w:sz w:val="24"/>
          <w:szCs w:val="24"/>
          <w:lang w:val="tr-TR"/>
        </w:rPr>
        <w:t xml:space="preserve"> Toplu hak takibi, </w:t>
      </w:r>
      <w:r w:rsidRPr="004A50FF">
        <w:rPr>
          <w:rFonts w:cstheme="minorHAnsi"/>
          <w:i/>
          <w:iCs/>
          <w:sz w:val="24"/>
          <w:szCs w:val="24"/>
          <w:lang w:val="tr-TR"/>
        </w:rPr>
        <w:t xml:space="preserve"> iii)</w:t>
      </w:r>
      <w:r w:rsidRPr="004A50FF">
        <w:rPr>
          <w:rFonts w:cstheme="minorHAnsi"/>
          <w:sz w:val="24"/>
          <w:szCs w:val="24"/>
          <w:lang w:val="tr-TR"/>
        </w:rPr>
        <w:t xml:space="preserve"> Levy sistemi,</w:t>
      </w:r>
      <w:r w:rsidRPr="004A50FF">
        <w:rPr>
          <w:rFonts w:cstheme="minorHAnsi"/>
          <w:i/>
          <w:iCs/>
          <w:sz w:val="24"/>
          <w:szCs w:val="24"/>
          <w:lang w:val="tr-TR"/>
        </w:rPr>
        <w:t xml:space="preserve"> iv)</w:t>
      </w:r>
      <w:r w:rsidRPr="004A50FF">
        <w:rPr>
          <w:rFonts w:cstheme="minorHAnsi"/>
          <w:sz w:val="24"/>
          <w:szCs w:val="24"/>
          <w:lang w:val="tr-TR"/>
        </w:rPr>
        <w:t xml:space="preserve"> Zorunlu lisans.</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Dijitalleşmeye bağlı olarak </w:t>
      </w:r>
      <w:r w:rsidRPr="004A50FF">
        <w:rPr>
          <w:rFonts w:cstheme="minorHAnsi"/>
          <w:b/>
          <w:bCs/>
          <w:sz w:val="24"/>
          <w:szCs w:val="24"/>
          <w:lang w:val="tr-TR"/>
        </w:rPr>
        <w:t>münhasır haklar</w:t>
      </w:r>
      <w:r w:rsidRPr="004A50FF">
        <w:rPr>
          <w:rFonts w:cstheme="minorHAnsi"/>
          <w:sz w:val="24"/>
          <w:szCs w:val="24"/>
          <w:lang w:val="tr-TR"/>
        </w:rPr>
        <w:t xml:space="preserve">, eser ve bağlantılı hak konularını legal olarak kullanmak isteyenlere büyük güçlükler çıkarmaya başladı. Bu durum </w:t>
      </w:r>
      <w:proofErr w:type="spellStart"/>
      <w:r w:rsidRPr="004A50FF">
        <w:rPr>
          <w:rFonts w:cstheme="minorHAnsi"/>
          <w:sz w:val="24"/>
          <w:szCs w:val="24"/>
          <w:lang w:val="tr-TR"/>
        </w:rPr>
        <w:t>dijitalize</w:t>
      </w:r>
      <w:proofErr w:type="spellEnd"/>
      <w:r w:rsidRPr="004A50FF">
        <w:rPr>
          <w:rFonts w:cstheme="minorHAnsi"/>
          <w:sz w:val="24"/>
          <w:szCs w:val="24"/>
          <w:lang w:val="tr-TR"/>
        </w:rPr>
        <w:t xml:space="preserve"> olan kitap, müzik, sinema ve basın gibi pek çok sektörde </w:t>
      </w:r>
      <w:r w:rsidRPr="004A50FF">
        <w:rPr>
          <w:rFonts w:cstheme="minorHAnsi"/>
          <w:i/>
          <w:iCs/>
          <w:sz w:val="24"/>
          <w:szCs w:val="24"/>
          <w:lang w:val="tr-TR"/>
        </w:rPr>
        <w:t>telif temizliğinin</w:t>
      </w:r>
      <w:r w:rsidRPr="004A50FF">
        <w:rPr>
          <w:rFonts w:cstheme="minorHAnsi"/>
          <w:sz w:val="24"/>
          <w:szCs w:val="24"/>
          <w:lang w:val="tr-TR"/>
        </w:rPr>
        <w:t xml:space="preserve"> </w:t>
      </w:r>
      <w:r w:rsidRPr="004A50FF">
        <w:rPr>
          <w:rFonts w:cstheme="minorHAnsi"/>
          <w:i/>
          <w:iCs/>
          <w:sz w:val="24"/>
          <w:szCs w:val="24"/>
          <w:lang w:val="tr-TR"/>
        </w:rPr>
        <w:t>(</w:t>
      </w:r>
      <w:proofErr w:type="spellStart"/>
      <w:r w:rsidRPr="004A50FF">
        <w:rPr>
          <w:rFonts w:cstheme="minorHAnsi"/>
          <w:i/>
          <w:iCs/>
          <w:sz w:val="24"/>
          <w:szCs w:val="24"/>
          <w:lang w:val="tr-TR"/>
        </w:rPr>
        <w:t>copyright</w:t>
      </w:r>
      <w:proofErr w:type="spellEnd"/>
      <w:r w:rsidRPr="004A50FF">
        <w:rPr>
          <w:rFonts w:cstheme="minorHAnsi"/>
          <w:i/>
          <w:iCs/>
          <w:sz w:val="24"/>
          <w:szCs w:val="24"/>
          <w:lang w:val="tr-TR"/>
        </w:rPr>
        <w:t xml:space="preserve"> </w:t>
      </w:r>
      <w:proofErr w:type="spellStart"/>
      <w:r w:rsidRPr="004A50FF">
        <w:rPr>
          <w:rFonts w:cstheme="minorHAnsi"/>
          <w:i/>
          <w:iCs/>
          <w:sz w:val="24"/>
          <w:szCs w:val="24"/>
          <w:lang w:val="tr-TR"/>
        </w:rPr>
        <w:t>clearance</w:t>
      </w:r>
      <w:proofErr w:type="spellEnd"/>
      <w:r w:rsidRPr="004A50FF">
        <w:rPr>
          <w:rFonts w:cstheme="minorHAnsi"/>
          <w:i/>
          <w:iCs/>
          <w:sz w:val="24"/>
          <w:szCs w:val="24"/>
          <w:lang w:val="tr-TR"/>
        </w:rPr>
        <w:t>)</w:t>
      </w:r>
      <w:r w:rsidRPr="004A50FF">
        <w:rPr>
          <w:rFonts w:cstheme="minorHAnsi"/>
          <w:sz w:val="24"/>
          <w:szCs w:val="24"/>
          <w:lang w:val="tr-TR"/>
        </w:rPr>
        <w:t xml:space="preserve"> büyük bir operasyona dönüşmesine yol açtı. Bunun da ötesinde legal kullanım yapmak isteyenler adeta “</w:t>
      </w:r>
      <w:proofErr w:type="gramStart"/>
      <w:r w:rsidRPr="004A50FF">
        <w:rPr>
          <w:rFonts w:cstheme="minorHAnsi"/>
          <w:sz w:val="24"/>
          <w:szCs w:val="24"/>
          <w:lang w:val="tr-TR"/>
        </w:rPr>
        <w:t>imkansızı</w:t>
      </w:r>
      <w:proofErr w:type="gramEnd"/>
      <w:r w:rsidRPr="004A50FF">
        <w:rPr>
          <w:rFonts w:cstheme="minorHAnsi"/>
          <w:sz w:val="24"/>
          <w:szCs w:val="24"/>
          <w:lang w:val="tr-TR"/>
        </w:rPr>
        <w:t xml:space="preserve"> başarma” ile karşı karşıya kaldılar. Bu sorunları aşabilmek adına, içinde </w:t>
      </w:r>
      <w:r w:rsidRPr="004A50FF">
        <w:rPr>
          <w:rFonts w:cstheme="minorHAnsi"/>
          <w:i/>
          <w:iCs/>
          <w:sz w:val="24"/>
          <w:szCs w:val="24"/>
          <w:lang w:val="tr-TR"/>
        </w:rPr>
        <w:t>Victor Hugo</w:t>
      </w:r>
      <w:r w:rsidRPr="004A50FF">
        <w:rPr>
          <w:rFonts w:cstheme="minorHAnsi"/>
          <w:sz w:val="24"/>
          <w:szCs w:val="24"/>
          <w:lang w:val="tr-TR"/>
        </w:rPr>
        <w:t xml:space="preserve"> ve </w:t>
      </w:r>
      <w:proofErr w:type="spellStart"/>
      <w:r w:rsidRPr="004A50FF">
        <w:rPr>
          <w:rFonts w:cstheme="minorHAnsi"/>
          <w:i/>
          <w:iCs/>
          <w:sz w:val="24"/>
          <w:szCs w:val="24"/>
          <w:lang w:val="tr-TR"/>
        </w:rPr>
        <w:t>Balzac</w:t>
      </w:r>
      <w:proofErr w:type="spellEnd"/>
      <w:r w:rsidRPr="004A50FF">
        <w:rPr>
          <w:rFonts w:cstheme="minorHAnsi"/>
          <w:sz w:val="24"/>
          <w:szCs w:val="24"/>
          <w:lang w:val="tr-TR"/>
        </w:rPr>
        <w:t xml:space="preserve"> gibi isimlerin de olduğu bir grup insan, 19. yüzyılın ortasında </w:t>
      </w:r>
      <w:r w:rsidRPr="004A50FF">
        <w:rPr>
          <w:rFonts w:cstheme="minorHAnsi"/>
          <w:b/>
          <w:bCs/>
          <w:sz w:val="24"/>
          <w:szCs w:val="24"/>
          <w:lang w:val="tr-TR"/>
        </w:rPr>
        <w:t>meslek birliklerinin</w:t>
      </w:r>
      <w:r w:rsidRPr="004A50FF">
        <w:rPr>
          <w:rFonts w:cstheme="minorHAnsi"/>
          <w:sz w:val="24"/>
          <w:szCs w:val="24"/>
          <w:lang w:val="tr-TR"/>
        </w:rPr>
        <w:t xml:space="preserve"> temelini attılar. Böylece meslek birlikleri üzerinden </w:t>
      </w:r>
      <w:r w:rsidRPr="004A50FF">
        <w:rPr>
          <w:rFonts w:cstheme="minorHAnsi"/>
          <w:b/>
          <w:bCs/>
          <w:sz w:val="24"/>
          <w:szCs w:val="24"/>
          <w:lang w:val="tr-TR"/>
        </w:rPr>
        <w:t>toplu hak takibi sistemi</w:t>
      </w:r>
      <w:r w:rsidRPr="004A50FF">
        <w:rPr>
          <w:rFonts w:cstheme="minorHAnsi"/>
          <w:sz w:val="24"/>
          <w:szCs w:val="24"/>
          <w:lang w:val="tr-TR"/>
        </w:rPr>
        <w:t xml:space="preserve"> kurularak bir yandan hak sahiplerine, diğer yandan telife konu fikri ürünleri kullanmak isteyip de hak sahiplerine ulaşmakta güçlük çekenlere büyük bir kolaylık sağlandı. Toplu </w:t>
      </w:r>
      <w:r w:rsidRPr="004A50FF">
        <w:rPr>
          <w:rFonts w:cstheme="minorHAnsi"/>
          <w:sz w:val="24"/>
          <w:szCs w:val="24"/>
          <w:lang w:val="tr-TR"/>
        </w:rPr>
        <w:lastRenderedPageBreak/>
        <w:t xml:space="preserve">hak takibi, şahsi kullanım harcı olarak da bilinen taşıyıcı materyallerin imalat veya satış bedelleri ile </w:t>
      </w:r>
      <w:proofErr w:type="spellStart"/>
      <w:r w:rsidRPr="004A50FF">
        <w:rPr>
          <w:rFonts w:cstheme="minorHAnsi"/>
          <w:sz w:val="24"/>
          <w:szCs w:val="24"/>
          <w:lang w:val="tr-TR"/>
        </w:rPr>
        <w:t>reprografi</w:t>
      </w:r>
      <w:proofErr w:type="spellEnd"/>
      <w:r w:rsidRPr="004A50FF">
        <w:rPr>
          <w:rFonts w:cstheme="minorHAnsi"/>
          <w:sz w:val="24"/>
          <w:szCs w:val="24"/>
          <w:lang w:val="tr-TR"/>
        </w:rPr>
        <w:t xml:space="preserve"> ödemelerini içinde barındıran </w:t>
      </w:r>
      <w:r w:rsidRPr="004A50FF">
        <w:rPr>
          <w:rFonts w:cstheme="minorHAnsi"/>
          <w:b/>
          <w:bCs/>
          <w:sz w:val="24"/>
          <w:szCs w:val="24"/>
          <w:lang w:val="tr-TR"/>
        </w:rPr>
        <w:t>Levy sistemiyle</w:t>
      </w:r>
      <w:r w:rsidRPr="004A50FF">
        <w:rPr>
          <w:rFonts w:cstheme="minorHAnsi"/>
          <w:sz w:val="24"/>
          <w:szCs w:val="24"/>
          <w:lang w:val="tr-TR"/>
        </w:rPr>
        <w:t xml:space="preserve"> tamamlanmak istendi.</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İlerleyen süreçte klasik toplu hak takibi sisteminin yetersiz kalması üzerine </w:t>
      </w:r>
      <w:r w:rsidRPr="004A50FF">
        <w:rPr>
          <w:rFonts w:cstheme="minorHAnsi"/>
          <w:b/>
          <w:bCs/>
          <w:sz w:val="24"/>
          <w:szCs w:val="24"/>
          <w:lang w:val="tr-TR"/>
        </w:rPr>
        <w:t>zorunlu lisanslama</w:t>
      </w:r>
      <w:r w:rsidRPr="004A50FF">
        <w:rPr>
          <w:rFonts w:cstheme="minorHAnsi"/>
          <w:sz w:val="24"/>
          <w:szCs w:val="24"/>
          <w:lang w:val="tr-TR"/>
        </w:rPr>
        <w:t xml:space="preserve">, hatta </w:t>
      </w:r>
      <w:r w:rsidRPr="004A50FF">
        <w:rPr>
          <w:rFonts w:cstheme="minorHAnsi"/>
          <w:b/>
          <w:bCs/>
          <w:sz w:val="24"/>
          <w:szCs w:val="24"/>
          <w:lang w:val="tr-TR"/>
        </w:rPr>
        <w:t>genişletilmiş zorunlu lisanslama</w:t>
      </w:r>
      <w:r w:rsidRPr="004A50FF">
        <w:rPr>
          <w:rFonts w:cstheme="minorHAnsi"/>
          <w:sz w:val="24"/>
          <w:szCs w:val="24"/>
          <w:lang w:val="tr-TR"/>
        </w:rPr>
        <w:t xml:space="preserve"> gibi hukuki müesseseler telif yasalarına girmeye başladı.</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Neden?</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Çünkü telif yasalarıyla biçilen elbise dar gelmeye başladı. Eskiden bol kepçeden verilen münhasır haklar bugün telife konu unsurların kullanılmasını fiilen engelliyor. Bu yüzden yasa koyucular, klasik anlamdaki </w:t>
      </w:r>
      <w:r w:rsidRPr="004A50FF">
        <w:rPr>
          <w:rFonts w:cstheme="minorHAnsi"/>
          <w:i/>
          <w:iCs/>
          <w:sz w:val="24"/>
          <w:szCs w:val="24"/>
          <w:lang w:val="tr-TR"/>
        </w:rPr>
        <w:t>istisna ve sınırlamaları (</w:t>
      </w:r>
      <w:proofErr w:type="spellStart"/>
      <w:r w:rsidRPr="004A50FF">
        <w:rPr>
          <w:rFonts w:cstheme="minorHAnsi"/>
          <w:i/>
          <w:iCs/>
          <w:sz w:val="24"/>
          <w:szCs w:val="24"/>
          <w:lang w:val="tr-TR"/>
        </w:rPr>
        <w:t>exceptions</w:t>
      </w:r>
      <w:proofErr w:type="spellEnd"/>
      <w:r w:rsidRPr="004A50FF">
        <w:rPr>
          <w:rFonts w:cstheme="minorHAnsi"/>
          <w:i/>
          <w:iCs/>
          <w:sz w:val="24"/>
          <w:szCs w:val="24"/>
          <w:lang w:val="tr-TR"/>
        </w:rPr>
        <w:t xml:space="preserve"> and </w:t>
      </w:r>
      <w:proofErr w:type="spellStart"/>
      <w:r w:rsidRPr="004A50FF">
        <w:rPr>
          <w:rFonts w:cstheme="minorHAnsi"/>
          <w:i/>
          <w:iCs/>
          <w:sz w:val="24"/>
          <w:szCs w:val="24"/>
          <w:lang w:val="tr-TR"/>
        </w:rPr>
        <w:t>limitations</w:t>
      </w:r>
      <w:proofErr w:type="spellEnd"/>
      <w:r w:rsidRPr="004A50FF">
        <w:rPr>
          <w:rFonts w:cstheme="minorHAnsi"/>
          <w:i/>
          <w:iCs/>
          <w:sz w:val="24"/>
          <w:szCs w:val="24"/>
          <w:lang w:val="tr-TR"/>
        </w:rPr>
        <w:t>)</w:t>
      </w:r>
      <w:r w:rsidRPr="004A50FF">
        <w:rPr>
          <w:rFonts w:cstheme="minorHAnsi"/>
          <w:sz w:val="24"/>
          <w:szCs w:val="24"/>
          <w:lang w:val="tr-TR"/>
        </w:rPr>
        <w:t xml:space="preserve"> genişleterek sorunları çözme çabası içine girdiler. Sözgelimi AB, 2001/29/EC sayılı Bilgi Toplumu </w:t>
      </w:r>
      <w:proofErr w:type="spellStart"/>
      <w:r w:rsidRPr="004A50FF">
        <w:rPr>
          <w:rFonts w:cstheme="minorHAnsi"/>
          <w:sz w:val="24"/>
          <w:szCs w:val="24"/>
          <w:lang w:val="tr-TR"/>
        </w:rPr>
        <w:t>Yönergesi’nde</w:t>
      </w:r>
      <w:proofErr w:type="spellEnd"/>
      <w:r w:rsidRPr="004A50FF">
        <w:rPr>
          <w:rFonts w:cstheme="minorHAnsi"/>
          <w:sz w:val="24"/>
          <w:szCs w:val="24"/>
          <w:lang w:val="tr-TR"/>
        </w:rPr>
        <w:t xml:space="preserve"> otuz civarında istisna ve sınırlamaya yer verdi. Ancak bu </w:t>
      </w:r>
      <w:proofErr w:type="spellStart"/>
      <w:r w:rsidRPr="004A50FF">
        <w:rPr>
          <w:rFonts w:cstheme="minorHAnsi"/>
          <w:sz w:val="24"/>
          <w:szCs w:val="24"/>
          <w:lang w:val="tr-TR"/>
        </w:rPr>
        <w:t>kazuistik</w:t>
      </w:r>
      <w:proofErr w:type="spellEnd"/>
      <w:r w:rsidRPr="004A50FF">
        <w:rPr>
          <w:rFonts w:cstheme="minorHAnsi"/>
          <w:sz w:val="24"/>
          <w:szCs w:val="24"/>
          <w:lang w:val="tr-TR"/>
        </w:rPr>
        <w:t xml:space="preserve"> nitelikteki klasik yöntemin dijital çağda işe yaramadığını zaman hepimize gösterdi. </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Kanaatimizce parametreler değişmedikçe telif alanında işlerin legal sınırlar içinde yönetilmesi mümkün görünmüyor. Yapay zekânın ayak seslerini duymaya başladığımız bugünlerde dijital tünelden geçilmesi gerekiyor. Telif yasaları bu tünelin önünde “oturan boğa” gibi pek çok eylemi engelliyor. Örneğin veri madenciliği yapmak ya da bir kütüphaneyi </w:t>
      </w:r>
      <w:proofErr w:type="spellStart"/>
      <w:r w:rsidRPr="004A50FF">
        <w:rPr>
          <w:rFonts w:cstheme="minorHAnsi"/>
          <w:sz w:val="24"/>
          <w:szCs w:val="24"/>
          <w:lang w:val="tr-TR"/>
        </w:rPr>
        <w:t>dijitalize</w:t>
      </w:r>
      <w:proofErr w:type="spellEnd"/>
      <w:r w:rsidRPr="004A50FF">
        <w:rPr>
          <w:rFonts w:cstheme="minorHAnsi"/>
          <w:sz w:val="24"/>
          <w:szCs w:val="24"/>
          <w:lang w:val="tr-TR"/>
        </w:rPr>
        <w:t xml:space="preserve"> etmek isteyenler, pratikte binlerce, bazen milyonlarca hak sahibiyle yazılı sözleşme akdetmeli. Oysa eserleri ve bağlantılı hak konularını kullanmak isteyenler, izne tabi olmaksızın bedeli mukabili bu kullanımları gerçekleştirebilmeli.</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İşte bu süreçte son yılların tılsımlı terimi </w:t>
      </w:r>
      <w:r w:rsidRPr="004A50FF">
        <w:rPr>
          <w:rFonts w:cstheme="minorHAnsi"/>
          <w:i/>
          <w:iCs/>
          <w:sz w:val="24"/>
          <w:szCs w:val="24"/>
          <w:lang w:val="tr-TR"/>
        </w:rPr>
        <w:t>bedel (</w:t>
      </w:r>
      <w:proofErr w:type="spellStart"/>
      <w:r w:rsidRPr="004A50FF">
        <w:rPr>
          <w:rFonts w:cstheme="minorHAnsi"/>
          <w:i/>
          <w:iCs/>
          <w:sz w:val="24"/>
          <w:szCs w:val="24"/>
          <w:lang w:val="tr-TR"/>
        </w:rPr>
        <w:t>remuneration</w:t>
      </w:r>
      <w:proofErr w:type="spellEnd"/>
      <w:r w:rsidRPr="004A50FF">
        <w:rPr>
          <w:rFonts w:cstheme="minorHAnsi"/>
          <w:i/>
          <w:iCs/>
          <w:sz w:val="24"/>
          <w:szCs w:val="24"/>
          <w:lang w:val="tr-TR"/>
        </w:rPr>
        <w:t>)</w:t>
      </w:r>
      <w:r w:rsidRPr="004A50FF">
        <w:rPr>
          <w:rFonts w:cstheme="minorHAnsi"/>
          <w:sz w:val="24"/>
          <w:szCs w:val="24"/>
          <w:lang w:val="tr-TR"/>
        </w:rPr>
        <w:t xml:space="preserve"> karşımıza çıkıyor</w:t>
      </w:r>
      <w:r w:rsidRPr="004A50FF">
        <w:rPr>
          <w:rStyle w:val="DipnotBavurusu"/>
          <w:rFonts w:cstheme="minorHAnsi"/>
          <w:sz w:val="24"/>
          <w:szCs w:val="24"/>
          <w:lang w:val="tr-TR"/>
        </w:rPr>
        <w:footnoteReference w:id="5"/>
      </w:r>
      <w:r w:rsidRPr="004A50FF">
        <w:rPr>
          <w:rFonts w:cstheme="minorHAnsi"/>
          <w:sz w:val="24"/>
          <w:szCs w:val="24"/>
          <w:lang w:val="tr-TR"/>
        </w:rPr>
        <w:t xml:space="preserve">. Bu bağlamda </w:t>
      </w:r>
      <w:r w:rsidRPr="004A50FF">
        <w:rPr>
          <w:rFonts w:cstheme="minorHAnsi"/>
          <w:i/>
          <w:iCs/>
          <w:sz w:val="24"/>
          <w:szCs w:val="24"/>
          <w:lang w:val="tr-TR"/>
        </w:rPr>
        <w:t>adil bedel (</w:t>
      </w:r>
      <w:proofErr w:type="spellStart"/>
      <w:r w:rsidRPr="004A50FF">
        <w:rPr>
          <w:rFonts w:cstheme="minorHAnsi"/>
          <w:i/>
          <w:iCs/>
          <w:sz w:val="24"/>
          <w:szCs w:val="24"/>
          <w:lang w:val="tr-TR"/>
        </w:rPr>
        <w:t>fair</w:t>
      </w:r>
      <w:proofErr w:type="spellEnd"/>
      <w:r w:rsidRPr="004A50FF">
        <w:rPr>
          <w:rFonts w:cstheme="minorHAnsi"/>
          <w:i/>
          <w:iCs/>
          <w:sz w:val="24"/>
          <w:szCs w:val="24"/>
          <w:lang w:val="tr-TR"/>
        </w:rPr>
        <w:t xml:space="preserve"> </w:t>
      </w:r>
      <w:proofErr w:type="spellStart"/>
      <w:r w:rsidRPr="004A50FF">
        <w:rPr>
          <w:rFonts w:cstheme="minorHAnsi"/>
          <w:i/>
          <w:iCs/>
          <w:sz w:val="24"/>
          <w:szCs w:val="24"/>
          <w:lang w:val="tr-TR"/>
        </w:rPr>
        <w:t>compansation</w:t>
      </w:r>
      <w:proofErr w:type="spellEnd"/>
      <w:r w:rsidRPr="004A50FF">
        <w:rPr>
          <w:rFonts w:cstheme="minorHAnsi"/>
          <w:i/>
          <w:iCs/>
          <w:sz w:val="24"/>
          <w:szCs w:val="24"/>
          <w:lang w:val="tr-TR"/>
        </w:rPr>
        <w:t>)</w:t>
      </w:r>
      <w:r w:rsidRPr="004A50FF">
        <w:rPr>
          <w:rFonts w:cstheme="minorHAnsi"/>
          <w:sz w:val="24"/>
          <w:szCs w:val="24"/>
          <w:lang w:val="tr-TR"/>
        </w:rPr>
        <w:t xml:space="preserve"> ve </w:t>
      </w:r>
      <w:r w:rsidRPr="004A50FF">
        <w:rPr>
          <w:rFonts w:cstheme="minorHAnsi"/>
          <w:i/>
          <w:iCs/>
          <w:sz w:val="24"/>
          <w:szCs w:val="24"/>
          <w:lang w:val="tr-TR"/>
        </w:rPr>
        <w:t>uygun bedel (</w:t>
      </w:r>
      <w:proofErr w:type="spellStart"/>
      <w:r w:rsidRPr="004A50FF">
        <w:rPr>
          <w:rFonts w:cstheme="minorHAnsi"/>
          <w:i/>
          <w:iCs/>
          <w:sz w:val="24"/>
          <w:szCs w:val="24"/>
          <w:lang w:val="tr-TR"/>
        </w:rPr>
        <w:t>equitable</w:t>
      </w:r>
      <w:proofErr w:type="spellEnd"/>
      <w:r w:rsidRPr="004A50FF">
        <w:rPr>
          <w:rFonts w:cstheme="minorHAnsi"/>
          <w:i/>
          <w:iCs/>
          <w:sz w:val="24"/>
          <w:szCs w:val="24"/>
          <w:lang w:val="tr-TR"/>
        </w:rPr>
        <w:t xml:space="preserve"> </w:t>
      </w:r>
      <w:proofErr w:type="spellStart"/>
      <w:r w:rsidRPr="004A50FF">
        <w:rPr>
          <w:rFonts w:cstheme="minorHAnsi"/>
          <w:i/>
          <w:iCs/>
          <w:sz w:val="24"/>
          <w:szCs w:val="24"/>
          <w:lang w:val="tr-TR"/>
        </w:rPr>
        <w:t>remuneration</w:t>
      </w:r>
      <w:proofErr w:type="spellEnd"/>
      <w:r w:rsidRPr="004A50FF">
        <w:rPr>
          <w:rFonts w:cstheme="minorHAnsi"/>
          <w:i/>
          <w:iCs/>
          <w:sz w:val="24"/>
          <w:szCs w:val="24"/>
          <w:lang w:val="tr-TR"/>
        </w:rPr>
        <w:t>)</w:t>
      </w:r>
      <w:r w:rsidRPr="004A50FF">
        <w:rPr>
          <w:rFonts w:cstheme="minorHAnsi"/>
          <w:sz w:val="24"/>
          <w:szCs w:val="24"/>
          <w:lang w:val="tr-TR"/>
        </w:rPr>
        <w:t xml:space="preserve"> kavramlarına, gerek öğretide gerekse pozitif düzenlemelerde sıklıkla şahit oluyoruz. Telif hukukuna konu pek çok alanda münhasır hakkın yerini bu kavramlar almaya başladı.</w:t>
      </w:r>
    </w:p>
    <w:p w:rsidR="001C04B8" w:rsidRPr="004A50FF" w:rsidRDefault="001C04B8" w:rsidP="001C04B8">
      <w:pPr>
        <w:spacing w:before="120" w:after="120" w:line="264" w:lineRule="auto"/>
        <w:jc w:val="center"/>
        <w:rPr>
          <w:rFonts w:cstheme="minorHAnsi"/>
          <w:b/>
          <w:bCs/>
          <w:sz w:val="24"/>
          <w:szCs w:val="24"/>
          <w:lang w:val="tr-TR"/>
        </w:rPr>
      </w:pPr>
      <w:r w:rsidRPr="004A50FF">
        <w:rPr>
          <w:rFonts w:cstheme="minorHAnsi"/>
          <w:b/>
          <w:bCs/>
          <w:sz w:val="24"/>
          <w:szCs w:val="24"/>
          <w:lang w:val="tr-TR"/>
        </w:rPr>
        <w:t>-V-</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İşte bu aşamada Ortak Pazar’ı oluşturan AB, kendi içinde Dijital Tek Pazar’ı kurmak için büyük çaba gösteriyor. Bilgi toplumunu </w:t>
      </w:r>
      <w:proofErr w:type="spellStart"/>
      <w:r w:rsidRPr="004A50FF">
        <w:rPr>
          <w:rFonts w:cstheme="minorHAnsi"/>
          <w:sz w:val="24"/>
          <w:szCs w:val="24"/>
          <w:lang w:val="tr-TR"/>
        </w:rPr>
        <w:t>legalize</w:t>
      </w:r>
      <w:proofErr w:type="spellEnd"/>
      <w:r w:rsidRPr="004A50FF">
        <w:rPr>
          <w:rFonts w:cstheme="minorHAnsi"/>
          <w:sz w:val="24"/>
          <w:szCs w:val="24"/>
          <w:lang w:val="tr-TR"/>
        </w:rPr>
        <w:t xml:space="preserve"> edebilmek adına sarf edilen bu çabalar acaba Dijital Tek Pazar’ın kurulmasını sağlayabilecek mi? Emin değiliz. Henüz yeknesak karakterde telif </w:t>
      </w:r>
      <w:r w:rsidRPr="004A50FF">
        <w:rPr>
          <w:rFonts w:cstheme="minorHAnsi"/>
          <w:i/>
          <w:iCs/>
          <w:sz w:val="24"/>
          <w:szCs w:val="24"/>
          <w:lang w:val="tr-TR"/>
        </w:rPr>
        <w:t>(</w:t>
      </w:r>
      <w:proofErr w:type="spellStart"/>
      <w:r w:rsidRPr="004A50FF">
        <w:rPr>
          <w:rFonts w:cstheme="minorHAnsi"/>
          <w:i/>
          <w:iCs/>
          <w:sz w:val="24"/>
          <w:szCs w:val="24"/>
          <w:lang w:val="tr-TR"/>
        </w:rPr>
        <w:t>unitary</w:t>
      </w:r>
      <w:proofErr w:type="spellEnd"/>
      <w:r w:rsidRPr="004A50FF">
        <w:rPr>
          <w:rFonts w:cstheme="minorHAnsi"/>
          <w:i/>
          <w:iCs/>
          <w:sz w:val="24"/>
          <w:szCs w:val="24"/>
          <w:lang w:val="tr-TR"/>
        </w:rPr>
        <w:t xml:space="preserve"> </w:t>
      </w:r>
      <w:proofErr w:type="spellStart"/>
      <w:r w:rsidRPr="004A50FF">
        <w:rPr>
          <w:rFonts w:cstheme="minorHAnsi"/>
          <w:i/>
          <w:iCs/>
          <w:sz w:val="24"/>
          <w:szCs w:val="24"/>
          <w:lang w:val="tr-TR"/>
        </w:rPr>
        <w:t>copyright</w:t>
      </w:r>
      <w:proofErr w:type="spellEnd"/>
      <w:r w:rsidRPr="004A50FF">
        <w:rPr>
          <w:rFonts w:cstheme="minorHAnsi"/>
          <w:i/>
          <w:iCs/>
          <w:sz w:val="24"/>
          <w:szCs w:val="24"/>
          <w:lang w:val="tr-TR"/>
        </w:rPr>
        <w:t>)</w:t>
      </w:r>
      <w:r w:rsidRPr="004A50FF">
        <w:rPr>
          <w:rFonts w:cstheme="minorHAnsi"/>
          <w:sz w:val="24"/>
          <w:szCs w:val="24"/>
          <w:lang w:val="tr-TR"/>
        </w:rPr>
        <w:t xml:space="preserve"> sistemini dahi kuramayan AB, koyduğu hedefin çok çok gerisinde</w:t>
      </w:r>
      <w:r w:rsidRPr="004A50FF">
        <w:rPr>
          <w:rStyle w:val="DipnotBavurusu"/>
          <w:rFonts w:cstheme="minorHAnsi"/>
          <w:sz w:val="24"/>
          <w:szCs w:val="24"/>
          <w:lang w:val="tr-TR"/>
        </w:rPr>
        <w:footnoteReference w:id="6"/>
      </w:r>
      <w:r w:rsidRPr="004A50FF">
        <w:rPr>
          <w:rFonts w:cstheme="minorHAnsi"/>
          <w:sz w:val="24"/>
          <w:szCs w:val="24"/>
          <w:lang w:val="tr-TR"/>
        </w:rPr>
        <w:t xml:space="preserve">. Bununla birlikte bu yolda AB, </w:t>
      </w:r>
      <w:proofErr w:type="spellStart"/>
      <w:r w:rsidRPr="004A50FF">
        <w:rPr>
          <w:rFonts w:cstheme="minorHAnsi"/>
          <w:sz w:val="24"/>
          <w:szCs w:val="24"/>
          <w:lang w:val="tr-TR"/>
        </w:rPr>
        <w:t>peyder</w:t>
      </w:r>
      <w:proofErr w:type="spellEnd"/>
      <w:r w:rsidRPr="004A50FF">
        <w:rPr>
          <w:rFonts w:cstheme="minorHAnsi"/>
          <w:sz w:val="24"/>
          <w:szCs w:val="24"/>
          <w:lang w:val="tr-TR"/>
        </w:rPr>
        <w:t xml:space="preserve"> pey çok sayıda metni kaleme aldı, alıyor. </w:t>
      </w:r>
    </w:p>
    <w:p w:rsidR="001C04B8" w:rsidRPr="004A50FF" w:rsidRDefault="001C04B8" w:rsidP="001C04B8">
      <w:pPr>
        <w:spacing w:before="120" w:after="120" w:line="264" w:lineRule="auto"/>
        <w:jc w:val="both"/>
        <w:rPr>
          <w:rFonts w:cstheme="minorHAnsi"/>
          <w:sz w:val="24"/>
          <w:szCs w:val="24"/>
          <w:lang w:val="tr-TR"/>
        </w:rPr>
      </w:pPr>
      <w:proofErr w:type="spellStart"/>
      <w:r w:rsidRPr="004A50FF">
        <w:rPr>
          <w:rFonts w:cstheme="minorHAnsi"/>
          <w:i/>
          <w:iCs/>
          <w:sz w:val="24"/>
          <w:szCs w:val="24"/>
          <w:lang w:val="tr-TR"/>
        </w:rPr>
        <w:t>The</w:t>
      </w:r>
      <w:proofErr w:type="spellEnd"/>
      <w:r w:rsidRPr="004A50FF">
        <w:rPr>
          <w:rFonts w:cstheme="minorHAnsi"/>
          <w:i/>
          <w:iCs/>
          <w:sz w:val="24"/>
          <w:szCs w:val="24"/>
          <w:lang w:val="tr-TR"/>
        </w:rPr>
        <w:t xml:space="preserve"> International Intellectual Property </w:t>
      </w:r>
      <w:proofErr w:type="spellStart"/>
      <w:r w:rsidRPr="004A50FF">
        <w:rPr>
          <w:rFonts w:cstheme="minorHAnsi"/>
          <w:i/>
          <w:iCs/>
          <w:sz w:val="24"/>
          <w:szCs w:val="24"/>
          <w:lang w:val="tr-TR"/>
        </w:rPr>
        <w:t>Protection</w:t>
      </w:r>
      <w:proofErr w:type="spellEnd"/>
      <w:r w:rsidRPr="004A50FF">
        <w:rPr>
          <w:rFonts w:cstheme="minorHAnsi"/>
          <w:i/>
          <w:iCs/>
          <w:sz w:val="24"/>
          <w:szCs w:val="24"/>
          <w:lang w:val="tr-TR"/>
        </w:rPr>
        <w:t xml:space="preserve"> </w:t>
      </w:r>
      <w:proofErr w:type="spellStart"/>
      <w:r w:rsidRPr="004A50FF">
        <w:rPr>
          <w:rFonts w:cstheme="minorHAnsi"/>
          <w:i/>
          <w:iCs/>
          <w:sz w:val="24"/>
          <w:szCs w:val="24"/>
          <w:lang w:val="tr-TR"/>
        </w:rPr>
        <w:t>Alliance’ın</w:t>
      </w:r>
      <w:proofErr w:type="spellEnd"/>
      <w:r w:rsidRPr="004A50FF">
        <w:rPr>
          <w:rFonts w:cstheme="minorHAnsi"/>
          <w:i/>
          <w:iCs/>
          <w:sz w:val="24"/>
          <w:szCs w:val="24"/>
          <w:lang w:val="tr-TR"/>
        </w:rPr>
        <w:t xml:space="preserve"> (IIPPA)</w:t>
      </w:r>
      <w:r w:rsidRPr="004A50FF">
        <w:rPr>
          <w:rFonts w:cstheme="minorHAnsi"/>
          <w:sz w:val="24"/>
          <w:szCs w:val="24"/>
          <w:lang w:val="tr-TR"/>
        </w:rPr>
        <w:t xml:space="preserve"> 2019 verilerine göre ABD’nin çekirdek telif tabanlı ekonomisi 1.6 trilyon </w:t>
      </w:r>
      <w:proofErr w:type="spellStart"/>
      <w:r w:rsidRPr="004A50FF">
        <w:rPr>
          <w:rFonts w:cstheme="minorHAnsi"/>
          <w:sz w:val="24"/>
          <w:szCs w:val="24"/>
          <w:lang w:val="tr-TR"/>
        </w:rPr>
        <w:t>USD’ye</w:t>
      </w:r>
      <w:proofErr w:type="spellEnd"/>
      <w:r w:rsidRPr="004A50FF">
        <w:rPr>
          <w:rFonts w:cstheme="minorHAnsi"/>
          <w:sz w:val="24"/>
          <w:szCs w:val="24"/>
          <w:lang w:val="tr-TR"/>
        </w:rPr>
        <w:t xml:space="preserve"> yaklaştı</w:t>
      </w:r>
      <w:r w:rsidRPr="004A50FF">
        <w:rPr>
          <w:rStyle w:val="DipnotBavurusu"/>
          <w:rFonts w:cstheme="minorHAnsi"/>
          <w:sz w:val="24"/>
          <w:szCs w:val="24"/>
          <w:lang w:val="tr-TR"/>
        </w:rPr>
        <w:footnoteReference w:id="7"/>
      </w:r>
      <w:r w:rsidRPr="004A50FF">
        <w:rPr>
          <w:rFonts w:cstheme="minorHAnsi"/>
          <w:sz w:val="24"/>
          <w:szCs w:val="24"/>
          <w:lang w:val="tr-TR"/>
        </w:rPr>
        <w:t xml:space="preserve">. Toplam telif endüstrisi ise 2.5 trilyon USD civarında. Bu rakamlar sırasıyla ABD’nin gayri safi milli hasılasının %7.41 ve %11.99’una karşılık </w:t>
      </w:r>
      <w:r w:rsidRPr="004A50FF">
        <w:rPr>
          <w:rFonts w:cstheme="minorHAnsi"/>
          <w:sz w:val="24"/>
          <w:szCs w:val="24"/>
          <w:lang w:val="tr-TR"/>
        </w:rPr>
        <w:lastRenderedPageBreak/>
        <w:t>geliyor. ABD’de telif endüstrisinde 5.7 milyon kişi istihdam ediliyor. Bu sayı, tüm çalışanların %3.79’unu oluşturuyor</w:t>
      </w:r>
      <w:r w:rsidRPr="004A50FF">
        <w:rPr>
          <w:rStyle w:val="DipnotBavurusu"/>
          <w:rFonts w:cstheme="minorHAnsi"/>
          <w:sz w:val="24"/>
          <w:szCs w:val="24"/>
          <w:lang w:val="tr-TR"/>
        </w:rPr>
        <w:footnoteReference w:id="8"/>
      </w:r>
      <w:r w:rsidRPr="004A50FF">
        <w:rPr>
          <w:rFonts w:cstheme="minorHAnsi"/>
          <w:sz w:val="24"/>
          <w:szCs w:val="24"/>
          <w:lang w:val="tr-TR"/>
        </w:rPr>
        <w:t>.</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 xml:space="preserve">AB, bu yarışta ben de varım çabasını gösteriyor. </w:t>
      </w:r>
    </w:p>
    <w:p w:rsidR="001C04B8" w:rsidRPr="004A50FF" w:rsidRDefault="001C04B8" w:rsidP="001C04B8">
      <w:pPr>
        <w:spacing w:before="120" w:after="120" w:line="264" w:lineRule="auto"/>
        <w:jc w:val="both"/>
        <w:rPr>
          <w:rFonts w:cstheme="minorHAnsi"/>
          <w:sz w:val="24"/>
          <w:szCs w:val="24"/>
          <w:lang w:val="tr-TR"/>
        </w:rPr>
      </w:pPr>
      <w:r w:rsidRPr="004A50FF">
        <w:rPr>
          <w:rFonts w:cstheme="minorHAnsi"/>
          <w:sz w:val="24"/>
          <w:szCs w:val="24"/>
          <w:lang w:val="tr-TR"/>
        </w:rPr>
        <w:t>Türkiye mi? Başka bir yazının konusu.</w:t>
      </w:r>
    </w:p>
    <w:p w:rsidR="001C04B8" w:rsidRPr="004A50FF" w:rsidRDefault="001C04B8" w:rsidP="001C04B8">
      <w:pPr>
        <w:spacing w:before="120" w:after="120" w:line="264" w:lineRule="auto"/>
        <w:jc w:val="center"/>
        <w:rPr>
          <w:rFonts w:cstheme="minorHAnsi"/>
          <w:b/>
          <w:bCs/>
          <w:iCs/>
          <w:sz w:val="24"/>
          <w:szCs w:val="24"/>
          <w:lang w:val="tr-TR"/>
        </w:rPr>
      </w:pPr>
    </w:p>
    <w:p w:rsidR="001C04B8" w:rsidRPr="004A50FF" w:rsidRDefault="001C04B8" w:rsidP="001C04B8">
      <w:pPr>
        <w:spacing w:before="120" w:after="120" w:line="264" w:lineRule="auto"/>
        <w:rPr>
          <w:rFonts w:cstheme="minorHAnsi"/>
          <w:b/>
          <w:i/>
          <w:sz w:val="24"/>
          <w:szCs w:val="24"/>
          <w:lang w:val="tr-TR"/>
        </w:rPr>
      </w:pPr>
      <w:r w:rsidRPr="004A50FF">
        <w:rPr>
          <w:rFonts w:cstheme="minorHAnsi"/>
          <w:b/>
          <w:bCs/>
          <w:i/>
          <w:sz w:val="24"/>
          <w:szCs w:val="24"/>
          <w:lang w:val="tr-TR"/>
        </w:rPr>
        <w:t>*</w:t>
      </w:r>
      <w:r w:rsidRPr="004A50FF">
        <w:rPr>
          <w:rFonts w:cstheme="minorHAnsi"/>
          <w:b/>
          <w:i/>
          <w:sz w:val="24"/>
          <w:szCs w:val="24"/>
          <w:lang w:val="tr-TR"/>
        </w:rPr>
        <w:t xml:space="preserve"> Avukat,</w:t>
      </w:r>
      <w:r w:rsidRPr="004A50FF">
        <w:rPr>
          <w:rFonts w:cstheme="minorHAnsi"/>
          <w:b/>
          <w:bCs/>
          <w:i/>
          <w:sz w:val="24"/>
          <w:szCs w:val="24"/>
          <w:lang w:val="tr-TR"/>
        </w:rPr>
        <w:t xml:space="preserve"> </w:t>
      </w:r>
      <w:r w:rsidRPr="004A50FF">
        <w:rPr>
          <w:rFonts w:cstheme="minorHAnsi"/>
          <w:b/>
          <w:i/>
          <w:sz w:val="24"/>
          <w:szCs w:val="24"/>
          <w:lang w:val="tr-TR"/>
        </w:rPr>
        <w:t xml:space="preserve">Cahit Suluk Avukatlık Bürosu, </w:t>
      </w:r>
      <w:r w:rsidRPr="004A50FF">
        <w:rPr>
          <w:rStyle w:val="Kpr"/>
          <w:rFonts w:cstheme="minorHAnsi"/>
          <w:b/>
          <w:i/>
          <w:sz w:val="24"/>
          <w:szCs w:val="24"/>
        </w:rPr>
        <w:t>suluk@suluk.com.tr</w:t>
      </w:r>
    </w:p>
    <w:p w:rsidR="00164C4B" w:rsidRDefault="00164C4B"/>
    <w:sectPr w:rsidR="00164C4B"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4B8" w:rsidRDefault="001C04B8" w:rsidP="001C04B8">
      <w:pPr>
        <w:spacing w:after="0" w:line="240" w:lineRule="auto"/>
      </w:pPr>
      <w:r>
        <w:separator/>
      </w:r>
    </w:p>
  </w:endnote>
  <w:endnote w:type="continuationSeparator" w:id="0">
    <w:p w:rsidR="001C04B8" w:rsidRDefault="001C04B8" w:rsidP="001C0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4B8" w:rsidRDefault="001C04B8" w:rsidP="001C04B8">
      <w:pPr>
        <w:spacing w:after="0" w:line="240" w:lineRule="auto"/>
      </w:pPr>
      <w:r>
        <w:separator/>
      </w:r>
    </w:p>
  </w:footnote>
  <w:footnote w:type="continuationSeparator" w:id="0">
    <w:p w:rsidR="001C04B8" w:rsidRDefault="001C04B8" w:rsidP="001C04B8">
      <w:pPr>
        <w:spacing w:after="0" w:line="240" w:lineRule="auto"/>
      </w:pPr>
      <w:r>
        <w:continuationSeparator/>
      </w:r>
    </w:p>
  </w:footnote>
  <w:footnote w:id="1">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w:t>
      </w:r>
      <w:hyperlink r:id="rId1" w:history="1">
        <w:r w:rsidRPr="00E92F8F">
          <w:rPr>
            <w:rStyle w:val="Kpr"/>
            <w:rFonts w:cstheme="minorHAnsi"/>
          </w:rPr>
          <w:t>https://ipcloseup.com/2021/01/19/latest-data-show-that-intangible-assets-comprise-90-of-the-value-of-the-sp-500-companies/</w:t>
        </w:r>
      </w:hyperlink>
      <w:r w:rsidRPr="00E92F8F">
        <w:rPr>
          <w:rFonts w:cstheme="minorHAnsi"/>
        </w:rPr>
        <w:t xml:space="preserve"> (erişim</w:t>
      </w:r>
      <w:r>
        <w:rPr>
          <w:rFonts w:cstheme="minorHAnsi"/>
        </w:rPr>
        <w:t>:</w:t>
      </w:r>
      <w:r w:rsidRPr="00E92F8F">
        <w:rPr>
          <w:rFonts w:cstheme="minorHAnsi"/>
        </w:rPr>
        <w:t xml:space="preserve"> 5.10.2022).</w:t>
      </w:r>
    </w:p>
  </w:footnote>
  <w:footnote w:id="2">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AB’de telif haklarıyla ilgili on bir adet yönerge ve iki adet tüzük yürürlüğe konuldu. Ancak son zamanlarda konuyla doğrudan veya dolaylı ilgisi bulunan pek çok metin hazırlanmış olup bunların yakın gelecekte yürürlüğe girmesi beklenmektedir. Bkz. </w:t>
      </w:r>
      <w:hyperlink r:id="rId2" w:history="1">
        <w:r w:rsidRPr="00E92F8F">
          <w:rPr>
            <w:rStyle w:val="Kpr"/>
            <w:rFonts w:cstheme="minorHAnsi"/>
          </w:rPr>
          <w:t>https://digital-strategy.ec.europa.eu/en/policies/copyright-legislation</w:t>
        </w:r>
      </w:hyperlink>
      <w:r w:rsidRPr="00E92F8F">
        <w:rPr>
          <w:rFonts w:cstheme="minorHAnsi"/>
        </w:rPr>
        <w:t xml:space="preserve"> (erişim</w:t>
      </w:r>
      <w:r>
        <w:rPr>
          <w:rFonts w:cstheme="minorHAnsi"/>
        </w:rPr>
        <w:t>:</w:t>
      </w:r>
      <w:r w:rsidRPr="00E92F8F">
        <w:rPr>
          <w:rFonts w:cstheme="minorHAnsi"/>
        </w:rPr>
        <w:t xml:space="preserve"> 5.10.2022).</w:t>
      </w:r>
    </w:p>
  </w:footnote>
  <w:footnote w:id="3">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Facebook’un Meta’ya dönüşmesiyle GAFA yerine MAGMA (Microsoft, Apple, Google, Meta ve Amazon) kısaltması kullanılmaya başlandı.</w:t>
      </w:r>
    </w:p>
  </w:footnote>
  <w:footnote w:id="4">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w:t>
      </w:r>
      <w:proofErr w:type="spellStart"/>
      <w:r w:rsidRPr="00E92F8F">
        <w:rPr>
          <w:rFonts w:cstheme="minorHAnsi"/>
        </w:rPr>
        <w:t>Pamela</w:t>
      </w:r>
      <w:proofErr w:type="spellEnd"/>
      <w:r w:rsidRPr="00E92F8F">
        <w:rPr>
          <w:rFonts w:cstheme="minorHAnsi"/>
        </w:rPr>
        <w:t xml:space="preserve"> </w:t>
      </w:r>
      <w:proofErr w:type="spellStart"/>
      <w:r w:rsidRPr="00E92F8F">
        <w:rPr>
          <w:rFonts w:cstheme="minorHAnsi"/>
          <w:b/>
          <w:bCs/>
        </w:rPr>
        <w:t>Samuelson</w:t>
      </w:r>
      <w:proofErr w:type="spellEnd"/>
      <w:r w:rsidRPr="00E92F8F">
        <w:rPr>
          <w:rFonts w:cstheme="minorHAnsi"/>
        </w:rPr>
        <w:t xml:space="preserve">: </w:t>
      </w:r>
      <w:r w:rsidRPr="00E92F8F">
        <w:rPr>
          <w:rFonts w:cstheme="minorHAnsi"/>
          <w:i/>
          <w:iCs/>
        </w:rPr>
        <w:t xml:space="preserve">“Is </w:t>
      </w:r>
      <w:proofErr w:type="spellStart"/>
      <w:r w:rsidRPr="00E92F8F">
        <w:rPr>
          <w:rFonts w:cstheme="minorHAnsi"/>
          <w:i/>
          <w:iCs/>
        </w:rPr>
        <w:t>Copyrıght</w:t>
      </w:r>
      <w:proofErr w:type="spellEnd"/>
      <w:r w:rsidRPr="00E92F8F">
        <w:rPr>
          <w:rFonts w:cstheme="minorHAnsi"/>
          <w:i/>
          <w:iCs/>
        </w:rPr>
        <w:t xml:space="preserve"> Reform </w:t>
      </w:r>
      <w:proofErr w:type="spellStart"/>
      <w:r w:rsidRPr="00E92F8F">
        <w:rPr>
          <w:rFonts w:cstheme="minorHAnsi"/>
          <w:i/>
          <w:iCs/>
        </w:rPr>
        <w:t>Possible</w:t>
      </w:r>
      <w:proofErr w:type="spellEnd"/>
      <w:proofErr w:type="gramStart"/>
      <w:r w:rsidRPr="00E92F8F">
        <w:rPr>
          <w:rFonts w:cstheme="minorHAnsi"/>
          <w:i/>
          <w:iCs/>
        </w:rPr>
        <w:t>?.</w:t>
      </w:r>
      <w:proofErr w:type="gramEnd"/>
      <w:r w:rsidRPr="00E92F8F">
        <w:rPr>
          <w:rFonts w:cstheme="minorHAnsi"/>
          <w:i/>
          <w:iCs/>
        </w:rPr>
        <w:t>”,</w:t>
      </w:r>
      <w:r w:rsidRPr="00E92F8F">
        <w:rPr>
          <w:rFonts w:cstheme="minorHAnsi"/>
        </w:rPr>
        <w:t xml:space="preserve"> Harvard Law </w:t>
      </w:r>
      <w:proofErr w:type="spellStart"/>
      <w:r w:rsidRPr="00E92F8F">
        <w:rPr>
          <w:rFonts w:cstheme="minorHAnsi"/>
        </w:rPr>
        <w:t>Review</w:t>
      </w:r>
      <w:proofErr w:type="spellEnd"/>
      <w:r w:rsidRPr="00E92F8F">
        <w:rPr>
          <w:rFonts w:cstheme="minorHAnsi"/>
        </w:rPr>
        <w:t>, V. 126/2013, s. 752.</w:t>
      </w:r>
    </w:p>
  </w:footnote>
  <w:footnote w:id="5">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Üstelik bu terim telif hukukuyla da sınırlı olmayıp, fikri mülkiyet hukukunun diğer alanlarında da geçerlidir. Fazla bilgi için bkz. Cahit </w:t>
      </w:r>
      <w:r w:rsidRPr="00E92F8F">
        <w:rPr>
          <w:rFonts w:cstheme="minorHAnsi"/>
          <w:b/>
          <w:bCs/>
        </w:rPr>
        <w:t>Suluk</w:t>
      </w:r>
      <w:r w:rsidRPr="00E92F8F">
        <w:rPr>
          <w:rFonts w:cstheme="minorHAnsi"/>
        </w:rPr>
        <w:t>: Çalışan Buluşları Hukuku, 2. Bası, Seçkin, Ankara 2020, s. 233 vd.</w:t>
      </w:r>
    </w:p>
  </w:footnote>
  <w:footnote w:id="6">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w:t>
      </w:r>
      <w:r w:rsidRPr="00E92F8F">
        <w:rPr>
          <w:rFonts w:cstheme="minorHAnsi"/>
          <w:i/>
          <w:iCs/>
        </w:rPr>
        <w:t>Birlik Markası</w:t>
      </w:r>
      <w:r w:rsidRPr="00E92F8F">
        <w:rPr>
          <w:rFonts w:cstheme="minorHAnsi"/>
        </w:rPr>
        <w:t xml:space="preserve"> ve </w:t>
      </w:r>
      <w:r w:rsidRPr="00E92F8F">
        <w:rPr>
          <w:rFonts w:cstheme="minorHAnsi"/>
          <w:i/>
          <w:iCs/>
        </w:rPr>
        <w:t>Topluluk Tasarımı</w:t>
      </w:r>
      <w:r w:rsidRPr="00E92F8F">
        <w:rPr>
          <w:rFonts w:cstheme="minorHAnsi"/>
        </w:rPr>
        <w:t xml:space="preserve"> ile yeknesak karakterde </w:t>
      </w:r>
      <w:r w:rsidRPr="00E92F8F">
        <w:rPr>
          <w:rFonts w:cstheme="minorHAnsi"/>
          <w:i/>
          <w:iCs/>
        </w:rPr>
        <w:t>(</w:t>
      </w:r>
      <w:proofErr w:type="spellStart"/>
      <w:r w:rsidRPr="00E92F8F">
        <w:rPr>
          <w:rFonts w:cstheme="minorHAnsi"/>
          <w:i/>
          <w:iCs/>
        </w:rPr>
        <w:t>unitary</w:t>
      </w:r>
      <w:proofErr w:type="spellEnd"/>
      <w:r w:rsidRPr="00E92F8F">
        <w:rPr>
          <w:rFonts w:cstheme="minorHAnsi"/>
          <w:i/>
          <w:iCs/>
        </w:rPr>
        <w:t xml:space="preserve"> </w:t>
      </w:r>
      <w:proofErr w:type="spellStart"/>
      <w:r w:rsidRPr="00E92F8F">
        <w:rPr>
          <w:rFonts w:cstheme="minorHAnsi"/>
          <w:i/>
          <w:iCs/>
        </w:rPr>
        <w:t>character</w:t>
      </w:r>
      <w:proofErr w:type="spellEnd"/>
      <w:r w:rsidRPr="00E92F8F">
        <w:rPr>
          <w:rFonts w:cstheme="minorHAnsi"/>
          <w:i/>
          <w:iCs/>
        </w:rPr>
        <w:t>)</w:t>
      </w:r>
      <w:r w:rsidRPr="00E92F8F">
        <w:rPr>
          <w:rFonts w:cstheme="minorHAnsi"/>
        </w:rPr>
        <w:t xml:space="preserve"> sistem kurmayı başaran AB, tercüme sorunları yüzünden </w:t>
      </w:r>
      <w:r w:rsidRPr="00E92F8F">
        <w:rPr>
          <w:rFonts w:cstheme="minorHAnsi"/>
          <w:i/>
          <w:iCs/>
        </w:rPr>
        <w:t>Topluluk Patentini</w:t>
      </w:r>
      <w:r w:rsidRPr="00E92F8F">
        <w:rPr>
          <w:rFonts w:cstheme="minorHAnsi"/>
        </w:rPr>
        <w:t xml:space="preserve"> hayata geçiremedi. Bunun yerine Avrupa Patenti üzerinden yeknesak karakterde patent </w:t>
      </w:r>
      <w:r w:rsidRPr="00E92F8F">
        <w:rPr>
          <w:rFonts w:cstheme="minorHAnsi"/>
          <w:i/>
          <w:iCs/>
        </w:rPr>
        <w:t>(</w:t>
      </w:r>
      <w:proofErr w:type="spellStart"/>
      <w:r w:rsidRPr="00E92F8F">
        <w:rPr>
          <w:rFonts w:cstheme="minorHAnsi"/>
          <w:i/>
          <w:iCs/>
        </w:rPr>
        <w:t>unitary</w:t>
      </w:r>
      <w:proofErr w:type="spellEnd"/>
      <w:r w:rsidRPr="00E92F8F">
        <w:rPr>
          <w:rFonts w:cstheme="minorHAnsi"/>
          <w:i/>
          <w:iCs/>
        </w:rPr>
        <w:t xml:space="preserve"> patent)</w:t>
      </w:r>
      <w:r w:rsidRPr="00E92F8F">
        <w:rPr>
          <w:rFonts w:cstheme="minorHAnsi"/>
        </w:rPr>
        <w:t xml:space="preserve"> sistemi kurmaya çalışıyor. Bkz. </w:t>
      </w:r>
      <w:hyperlink r:id="rId3" w:history="1">
        <w:r w:rsidRPr="00E92F8F">
          <w:rPr>
            <w:rStyle w:val="Kpr"/>
            <w:rFonts w:cstheme="minorHAnsi"/>
          </w:rPr>
          <w:t>https://www.epo.org/applying/european/unitary/unitary-patent.html</w:t>
        </w:r>
      </w:hyperlink>
      <w:r w:rsidRPr="00E92F8F">
        <w:rPr>
          <w:rFonts w:cstheme="minorHAnsi"/>
        </w:rPr>
        <w:t xml:space="preserve"> (erişim; 31.10.2022).</w:t>
      </w:r>
    </w:p>
  </w:footnote>
  <w:footnote w:id="7">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Bu rakam, ülkemizin gayri safi milli hasılasının iki katı civarındadır. </w:t>
      </w:r>
    </w:p>
  </w:footnote>
  <w:footnote w:id="8">
    <w:p w:rsidR="001C04B8" w:rsidRPr="00E92F8F" w:rsidRDefault="001C04B8" w:rsidP="001C04B8">
      <w:pPr>
        <w:pStyle w:val="DipnotMetni"/>
        <w:spacing w:before="120"/>
        <w:ind w:left="170" w:hanging="170"/>
        <w:jc w:val="both"/>
        <w:rPr>
          <w:rFonts w:cstheme="minorHAnsi"/>
        </w:rPr>
      </w:pPr>
      <w:r w:rsidRPr="00E92F8F">
        <w:rPr>
          <w:rStyle w:val="DipnotBavurusu"/>
          <w:rFonts w:cstheme="minorHAnsi"/>
        </w:rPr>
        <w:footnoteRef/>
      </w:r>
      <w:r w:rsidRPr="00E92F8F">
        <w:rPr>
          <w:rFonts w:cstheme="minorHAnsi"/>
        </w:rPr>
        <w:t xml:space="preserve"> </w:t>
      </w:r>
      <w:hyperlink r:id="rId4" w:history="1">
        <w:r w:rsidRPr="00E92F8F">
          <w:rPr>
            <w:rStyle w:val="Kpr"/>
            <w:rFonts w:cstheme="minorHAnsi"/>
          </w:rPr>
          <w:t>https://www.iipa.org/files/uploads/2020/12/2020-IIPA-Report-FINAL-web.pdf</w:t>
        </w:r>
      </w:hyperlink>
      <w:r w:rsidRPr="00E92F8F">
        <w:rPr>
          <w:rFonts w:cstheme="minorHAnsi"/>
        </w:rPr>
        <w:t xml:space="preserve"> (erişim; 31.10.2022).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B8"/>
    <w:rsid w:val="00164C4B"/>
    <w:rsid w:val="001C04B8"/>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BA490-2D70-4B87-83B2-CE9FBA8A4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4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1C04B8"/>
    <w:rPr>
      <w:color w:val="0000FF"/>
      <w:u w:val="single"/>
    </w:rPr>
  </w:style>
  <w:style w:type="paragraph" w:styleId="DipnotMetni">
    <w:name w:val="footnote text"/>
    <w:basedOn w:val="Normal"/>
    <w:link w:val="DipnotMetniChar"/>
    <w:uiPriority w:val="99"/>
    <w:unhideWhenUsed/>
    <w:rsid w:val="001C04B8"/>
    <w:pPr>
      <w:spacing w:after="0" w:line="240" w:lineRule="auto"/>
    </w:pPr>
    <w:rPr>
      <w:sz w:val="20"/>
      <w:szCs w:val="20"/>
      <w:lang w:val="tr-TR"/>
    </w:rPr>
  </w:style>
  <w:style w:type="character" w:customStyle="1" w:styleId="DipnotMetniChar">
    <w:name w:val="Dipnot Metni Char"/>
    <w:basedOn w:val="VarsaylanParagrafYazTipi"/>
    <w:link w:val="DipnotMetni"/>
    <w:uiPriority w:val="99"/>
    <w:rsid w:val="001C04B8"/>
    <w:rPr>
      <w:sz w:val="20"/>
      <w:szCs w:val="20"/>
      <w:lang w:val="tr-TR"/>
    </w:rPr>
  </w:style>
  <w:style w:type="character" w:styleId="DipnotBavurusu">
    <w:name w:val="footnote reference"/>
    <w:basedOn w:val="VarsaylanParagrafYazTipi"/>
    <w:uiPriority w:val="99"/>
    <w:semiHidden/>
    <w:unhideWhenUsed/>
    <w:rsid w:val="001C04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po.org/applying/european/unitary/unitary-patent.html" TargetMode="External"/><Relationship Id="rId2" Type="http://schemas.openxmlformats.org/officeDocument/2006/relationships/hyperlink" Target="https://digital-strategy.ec.europa.eu/en/policies/copyright-legislation" TargetMode="External"/><Relationship Id="rId1" Type="http://schemas.openxmlformats.org/officeDocument/2006/relationships/hyperlink" Target="https://ipcloseup.com/2021/01/19/latest-data-show-that-intangible-assets-comprise-90-of-the-value-of-the-sp-500-companies/" TargetMode="External"/><Relationship Id="rId4" Type="http://schemas.openxmlformats.org/officeDocument/2006/relationships/hyperlink" Target="https://www.iipa.org/files/uploads/2020/12/2020-IIPA-Report-FINAL-web.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6171</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2024-02-13T12:48:00Z</dcterms:created>
  <dcterms:modified xsi:type="dcterms:W3CDTF">2024-02-13T12:48:00Z</dcterms:modified>
</cp:coreProperties>
</file>