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3FA" w:rsidRPr="00E92F8F" w:rsidRDefault="00C543FA" w:rsidP="00C543FA">
      <w:pPr>
        <w:pStyle w:val="GvdeMetni"/>
        <w:spacing w:before="120" w:after="120" w:line="264" w:lineRule="auto"/>
        <w:jc w:val="right"/>
        <w:rPr>
          <w:rFonts w:cstheme="minorHAnsi"/>
          <w:b/>
          <w:sz w:val="24"/>
          <w:szCs w:val="24"/>
          <w:lang w:val="tr-TR"/>
        </w:rPr>
      </w:pPr>
      <w:r w:rsidRPr="00E92F8F">
        <w:rPr>
          <w:rFonts w:cstheme="minorHAnsi"/>
          <w:b/>
          <w:sz w:val="24"/>
          <w:szCs w:val="24"/>
          <w:lang w:val="tr-TR"/>
        </w:rPr>
        <w:t>Aysel Korkmaz Yatkın*</w:t>
      </w:r>
    </w:p>
    <w:p w:rsidR="00C543FA" w:rsidRPr="00E92F8F" w:rsidRDefault="00C543FA" w:rsidP="00C543FA">
      <w:pPr>
        <w:spacing w:before="120" w:after="120" w:line="264" w:lineRule="auto"/>
        <w:jc w:val="right"/>
        <w:rPr>
          <w:rFonts w:cstheme="minorHAnsi"/>
          <w:b/>
          <w:bCs/>
          <w:i/>
          <w:iCs/>
          <w:sz w:val="24"/>
          <w:szCs w:val="24"/>
          <w:lang w:val="tr-TR"/>
        </w:rPr>
      </w:pPr>
      <w:r w:rsidRPr="00E92F8F">
        <w:rPr>
          <w:rFonts w:cstheme="minorHAnsi"/>
          <w:b/>
          <w:bCs/>
          <w:i/>
          <w:iCs/>
          <w:sz w:val="24"/>
          <w:szCs w:val="24"/>
          <w:lang w:val="tr-TR"/>
        </w:rPr>
        <w:t xml:space="preserve">AIPPI Türkiye / Fikri Mülkiyet Hakları Koruma </w:t>
      </w:r>
      <w:proofErr w:type="spellStart"/>
      <w:r w:rsidRPr="00E92F8F">
        <w:rPr>
          <w:rFonts w:cstheme="minorHAnsi"/>
          <w:b/>
          <w:bCs/>
          <w:i/>
          <w:iCs/>
          <w:sz w:val="24"/>
          <w:szCs w:val="24"/>
          <w:lang w:val="tr-TR"/>
        </w:rPr>
        <w:t>Derneği</w:t>
      </w:r>
      <w:proofErr w:type="spellEnd"/>
      <w:r w:rsidRPr="00E92F8F">
        <w:rPr>
          <w:rFonts w:cstheme="minorHAnsi"/>
          <w:b/>
          <w:bCs/>
          <w:i/>
          <w:iCs/>
          <w:sz w:val="24"/>
          <w:szCs w:val="24"/>
          <w:lang w:val="tr-TR"/>
        </w:rPr>
        <w:t xml:space="preserve"> Üyesi</w:t>
      </w:r>
    </w:p>
    <w:p w:rsidR="00C543FA" w:rsidRPr="00241592" w:rsidRDefault="00C543FA" w:rsidP="00C543FA">
      <w:pPr>
        <w:pStyle w:val="GvdeMetni"/>
        <w:spacing w:before="120" w:after="120" w:line="264" w:lineRule="auto"/>
        <w:jc w:val="center"/>
        <w:rPr>
          <w:rFonts w:cstheme="minorHAnsi"/>
          <w:b/>
          <w:sz w:val="26"/>
          <w:szCs w:val="26"/>
          <w:lang w:val="tr-TR"/>
        </w:rPr>
      </w:pPr>
      <w:bookmarkStart w:id="0" w:name="_GoBack"/>
      <w:r w:rsidRPr="00241592">
        <w:rPr>
          <w:rFonts w:cstheme="minorHAnsi"/>
          <w:b/>
          <w:sz w:val="26"/>
          <w:szCs w:val="26"/>
          <w:lang w:val="tr-TR"/>
        </w:rPr>
        <w:t xml:space="preserve">AIPPI 2022 Patent Konu Sorusu: Teşhis Yöntemlerinin </w:t>
      </w:r>
      <w:proofErr w:type="spellStart"/>
      <w:r w:rsidRPr="00241592">
        <w:rPr>
          <w:rFonts w:cstheme="minorHAnsi"/>
          <w:b/>
          <w:sz w:val="26"/>
          <w:szCs w:val="26"/>
          <w:lang w:val="tr-TR"/>
        </w:rPr>
        <w:t>Patentlenebilirliği</w:t>
      </w:r>
      <w:proofErr w:type="spellEnd"/>
    </w:p>
    <w:bookmarkEnd w:id="0"/>
    <w:p w:rsidR="00C543FA" w:rsidRPr="00E92F8F" w:rsidRDefault="00C543FA" w:rsidP="00C543FA">
      <w:pPr>
        <w:spacing w:before="120" w:after="120" w:line="264" w:lineRule="auto"/>
        <w:jc w:val="both"/>
        <w:rPr>
          <w:rFonts w:cstheme="minorHAnsi"/>
          <w:sz w:val="24"/>
          <w:szCs w:val="24"/>
          <w:lang w:val="tr-TR"/>
        </w:rPr>
      </w:pPr>
      <w:r w:rsidRPr="00E92F8F">
        <w:rPr>
          <w:rFonts w:cstheme="minorHAnsi"/>
          <w:sz w:val="24"/>
          <w:szCs w:val="24"/>
          <w:lang w:val="tr-TR"/>
        </w:rPr>
        <w:t xml:space="preserve">AIPPI 2022 Dünya Kongresi’nde, teşhise ilişkin buluşların </w:t>
      </w:r>
      <w:proofErr w:type="spellStart"/>
      <w:r w:rsidRPr="00E92F8F">
        <w:rPr>
          <w:rFonts w:cstheme="minorHAnsi"/>
          <w:sz w:val="24"/>
          <w:szCs w:val="24"/>
          <w:lang w:val="tr-TR"/>
        </w:rPr>
        <w:t>patentlenebilirliği</w:t>
      </w:r>
      <w:proofErr w:type="spellEnd"/>
      <w:r w:rsidRPr="00E92F8F">
        <w:rPr>
          <w:rFonts w:cstheme="minorHAnsi"/>
          <w:sz w:val="24"/>
          <w:szCs w:val="24"/>
          <w:lang w:val="tr-TR"/>
        </w:rPr>
        <w:t xml:space="preserve"> konusu ele alınmıştır.</w:t>
      </w:r>
    </w:p>
    <w:p w:rsidR="00C543FA" w:rsidRPr="00E92F8F" w:rsidRDefault="00C543FA" w:rsidP="00C543FA">
      <w:pPr>
        <w:spacing w:before="120" w:after="120" w:line="264" w:lineRule="auto"/>
        <w:jc w:val="both"/>
        <w:rPr>
          <w:rFonts w:cstheme="minorHAnsi"/>
          <w:sz w:val="24"/>
          <w:szCs w:val="24"/>
          <w:lang w:val="tr-TR"/>
        </w:rPr>
      </w:pPr>
      <w:r w:rsidRPr="00E92F8F">
        <w:rPr>
          <w:rFonts w:cstheme="minorHAnsi"/>
          <w:sz w:val="24"/>
          <w:szCs w:val="24"/>
          <w:lang w:val="tr-TR"/>
        </w:rPr>
        <w:t xml:space="preserve">Katılımcı ülkelerin gruplarından toplam 36 Rapor alınmıştır. Konunun farklı yönlerine odaklanan çeşitli sorular tüm ulusal gruplar tarafından değerlendirilmiş, yanıtlanmıştır. </w:t>
      </w:r>
    </w:p>
    <w:p w:rsidR="00C543FA" w:rsidRPr="00E92F8F" w:rsidRDefault="00C543FA" w:rsidP="00C543FA">
      <w:pPr>
        <w:spacing w:before="120" w:after="120" w:line="264" w:lineRule="auto"/>
        <w:jc w:val="both"/>
        <w:rPr>
          <w:rFonts w:cstheme="minorHAnsi"/>
          <w:sz w:val="24"/>
          <w:szCs w:val="24"/>
          <w:lang w:val="tr-TR"/>
        </w:rPr>
      </w:pPr>
      <w:r w:rsidRPr="00E92F8F">
        <w:rPr>
          <w:rFonts w:cstheme="minorHAnsi"/>
          <w:sz w:val="24"/>
          <w:szCs w:val="24"/>
          <w:lang w:val="tr-TR"/>
        </w:rPr>
        <w:t>Bu yanıtlara göre bazı konularda uzlaşılar sağlandığı dikkat çekmiştir.</w:t>
      </w:r>
    </w:p>
    <w:p w:rsidR="00C543FA" w:rsidRPr="00E92F8F" w:rsidRDefault="00C543FA" w:rsidP="00C543FA">
      <w:pPr>
        <w:pStyle w:val="ListeParagraf"/>
        <w:numPr>
          <w:ilvl w:val="0"/>
          <w:numId w:val="2"/>
        </w:numPr>
        <w:spacing w:before="120" w:after="120" w:line="264" w:lineRule="auto"/>
        <w:jc w:val="both"/>
        <w:rPr>
          <w:rFonts w:cstheme="minorHAnsi"/>
        </w:rPr>
      </w:pPr>
      <w:r w:rsidRPr="00E92F8F">
        <w:rPr>
          <w:rFonts w:cstheme="minorHAnsi"/>
        </w:rPr>
        <w:t>Teşhis amacı taşıyan bir cihaz ya da makine patentlenebilir olmalıdır.</w:t>
      </w:r>
    </w:p>
    <w:p w:rsidR="00C543FA" w:rsidRPr="00E92F8F" w:rsidRDefault="00C543FA" w:rsidP="00C543FA">
      <w:pPr>
        <w:pStyle w:val="ListeParagraf"/>
        <w:numPr>
          <w:ilvl w:val="0"/>
          <w:numId w:val="2"/>
        </w:numPr>
        <w:spacing w:before="120" w:after="120" w:line="264" w:lineRule="auto"/>
        <w:jc w:val="both"/>
        <w:rPr>
          <w:rFonts w:cstheme="minorHAnsi"/>
        </w:rPr>
      </w:pPr>
      <w:r w:rsidRPr="00E92F8F">
        <w:rPr>
          <w:rFonts w:cstheme="minorHAnsi"/>
        </w:rPr>
        <w:t>Teşhise yönelik olarak verileri işleyebilen ve tedavi sunabilen bir cihaz veya makine de patentlenebilirdir.</w:t>
      </w:r>
    </w:p>
    <w:p w:rsidR="00C543FA" w:rsidRPr="00E92F8F" w:rsidRDefault="00C543FA" w:rsidP="00C543FA">
      <w:pPr>
        <w:pStyle w:val="ListeParagraf"/>
        <w:numPr>
          <w:ilvl w:val="0"/>
          <w:numId w:val="2"/>
        </w:numPr>
        <w:spacing w:before="120" w:after="120" w:line="264" w:lineRule="auto"/>
        <w:jc w:val="both"/>
        <w:rPr>
          <w:rFonts w:cstheme="minorHAnsi"/>
        </w:rPr>
      </w:pPr>
      <w:r w:rsidRPr="00E92F8F">
        <w:rPr>
          <w:rFonts w:cstheme="minorHAnsi"/>
        </w:rPr>
        <w:t>Teşhis yöntemi, insan veya hayvan vücuduna doğrudan uygulama içermediği sürece patentlenebilir olmalıdır.</w:t>
      </w:r>
    </w:p>
    <w:p w:rsidR="00C543FA" w:rsidRPr="00E92F8F" w:rsidRDefault="00C543FA" w:rsidP="00C543FA">
      <w:pPr>
        <w:pStyle w:val="ListeParagraf"/>
        <w:numPr>
          <w:ilvl w:val="0"/>
          <w:numId w:val="2"/>
        </w:numPr>
        <w:spacing w:before="120" w:after="120" w:line="264" w:lineRule="auto"/>
        <w:jc w:val="both"/>
        <w:rPr>
          <w:rFonts w:cstheme="minorHAnsi"/>
        </w:rPr>
      </w:pPr>
      <w:r w:rsidRPr="00E92F8F">
        <w:rPr>
          <w:rFonts w:cstheme="minorHAnsi"/>
        </w:rPr>
        <w:t xml:space="preserve">Teşhis metotlarının </w:t>
      </w:r>
      <w:proofErr w:type="spellStart"/>
      <w:r w:rsidRPr="00E92F8F">
        <w:rPr>
          <w:rFonts w:cstheme="minorHAnsi"/>
        </w:rPr>
        <w:t>patentlenebilirliğine</w:t>
      </w:r>
      <w:proofErr w:type="spellEnd"/>
      <w:r w:rsidRPr="00E92F8F">
        <w:rPr>
          <w:rFonts w:cstheme="minorHAnsi"/>
        </w:rPr>
        <w:t xml:space="preserve"> ilişkin olarak, aynı doğrultuda yargı kararları verilmesi ile kararların ve bu konudaki tutumun açıklanması ve tutarlı olması için uygulamada uyum sağlanması elzemdir.</w:t>
      </w:r>
    </w:p>
    <w:p w:rsidR="00C543FA" w:rsidRPr="00E92F8F" w:rsidRDefault="00C543FA" w:rsidP="00C543FA">
      <w:pPr>
        <w:spacing w:before="120" w:after="120" w:line="264" w:lineRule="auto"/>
        <w:jc w:val="both"/>
        <w:rPr>
          <w:rFonts w:cstheme="minorHAnsi"/>
          <w:sz w:val="24"/>
          <w:szCs w:val="24"/>
          <w:lang w:val="tr-TR"/>
        </w:rPr>
      </w:pPr>
      <w:r w:rsidRPr="00E92F8F">
        <w:rPr>
          <w:rFonts w:cstheme="minorHAnsi"/>
          <w:sz w:val="24"/>
          <w:szCs w:val="24"/>
          <w:lang w:val="tr-TR"/>
        </w:rPr>
        <w:t>Tüm bu hususlar ortaya konarak AIPPI Kongresi sonucunda çıkan Yönergede, (</w:t>
      </w:r>
      <w:proofErr w:type="spellStart"/>
      <w:r w:rsidRPr="00E92F8F">
        <w:rPr>
          <w:rFonts w:cstheme="minorHAnsi"/>
          <w:sz w:val="24"/>
          <w:szCs w:val="24"/>
          <w:lang w:val="tr-TR"/>
        </w:rPr>
        <w:t>Resolution</w:t>
      </w:r>
      <w:proofErr w:type="spellEnd"/>
      <w:r w:rsidRPr="00E92F8F">
        <w:rPr>
          <w:rFonts w:cstheme="minorHAnsi"/>
          <w:sz w:val="24"/>
          <w:szCs w:val="24"/>
          <w:lang w:val="tr-TR"/>
        </w:rPr>
        <w:t>) özet olarak şu sonuçlara varılmıştır:</w:t>
      </w:r>
    </w:p>
    <w:p w:rsidR="00C543FA" w:rsidRPr="00E92F8F" w:rsidRDefault="00C543FA" w:rsidP="00C543FA">
      <w:pPr>
        <w:pStyle w:val="ListeParagraf"/>
        <w:numPr>
          <w:ilvl w:val="0"/>
          <w:numId w:val="1"/>
        </w:numPr>
        <w:spacing w:before="120" w:after="120" w:line="264" w:lineRule="auto"/>
        <w:jc w:val="both"/>
        <w:rPr>
          <w:rFonts w:cstheme="minorHAnsi"/>
        </w:rPr>
      </w:pPr>
      <w:r w:rsidRPr="00E92F8F">
        <w:rPr>
          <w:rFonts w:cstheme="minorHAnsi"/>
        </w:rPr>
        <w:t xml:space="preserve">Teknolojik tüm buluşlara patent verilmesi gerekir. Dolayısıyla bir buluşun yalnızca teşhis yöntemleri ile ilgili olması o buluşu </w:t>
      </w:r>
      <w:proofErr w:type="spellStart"/>
      <w:r w:rsidRPr="00E92F8F">
        <w:rPr>
          <w:rFonts w:cstheme="minorHAnsi"/>
        </w:rPr>
        <w:t>patentlenebilirlik</w:t>
      </w:r>
      <w:proofErr w:type="spellEnd"/>
      <w:r w:rsidRPr="00E92F8F">
        <w:rPr>
          <w:rFonts w:cstheme="minorHAnsi"/>
        </w:rPr>
        <w:t xml:space="preserve"> kapsamı dışında tutmamalıdır.</w:t>
      </w:r>
    </w:p>
    <w:p w:rsidR="00C543FA" w:rsidRPr="00E92F8F" w:rsidRDefault="00C543FA" w:rsidP="00C543FA">
      <w:pPr>
        <w:pStyle w:val="ListeParagraf"/>
        <w:numPr>
          <w:ilvl w:val="0"/>
          <w:numId w:val="1"/>
        </w:numPr>
        <w:spacing w:before="120" w:after="120" w:line="264" w:lineRule="auto"/>
        <w:jc w:val="both"/>
        <w:rPr>
          <w:rFonts w:cstheme="minorHAnsi"/>
        </w:rPr>
      </w:pPr>
      <w:r w:rsidRPr="00E92F8F">
        <w:rPr>
          <w:rFonts w:cstheme="minorHAnsi"/>
        </w:rPr>
        <w:t xml:space="preserve">Karar vericiler ve uygulayıcılar açısından bu konuda net ve tutarlı bir görüş ve uygulamanın mevcut olması teşhis yöntemleri açısından patent korumasını sağlayabilmek için önem arz ettiğinden, yasa ve yönetmelikler başta olmak üzere ilgili mevzuatın </w:t>
      </w:r>
      <w:proofErr w:type="spellStart"/>
      <w:r w:rsidRPr="00E92F8F">
        <w:rPr>
          <w:rFonts w:cstheme="minorHAnsi"/>
        </w:rPr>
        <w:t>regüle</w:t>
      </w:r>
      <w:proofErr w:type="spellEnd"/>
      <w:r w:rsidRPr="00E92F8F">
        <w:rPr>
          <w:rFonts w:cstheme="minorHAnsi"/>
        </w:rPr>
        <w:t xml:space="preserve"> edilerek uyumlu hale getirilmesi gerekmektedir. Böylece tıbbi teknolojiler ve tıbbi cihazlar açısından da hukuki kesinlik sağlanabilecektir. </w:t>
      </w:r>
    </w:p>
    <w:p w:rsidR="00C543FA" w:rsidRPr="00E92F8F" w:rsidRDefault="00C543FA" w:rsidP="00C543FA">
      <w:pPr>
        <w:pStyle w:val="ListeParagraf"/>
        <w:numPr>
          <w:ilvl w:val="0"/>
          <w:numId w:val="1"/>
        </w:numPr>
        <w:spacing w:before="120" w:after="120" w:line="264" w:lineRule="auto"/>
        <w:jc w:val="both"/>
        <w:rPr>
          <w:rFonts w:cstheme="minorHAnsi"/>
        </w:rPr>
      </w:pPr>
      <w:r w:rsidRPr="00E92F8F">
        <w:rPr>
          <w:rFonts w:cstheme="minorHAnsi"/>
        </w:rPr>
        <w:t xml:space="preserve">Özellikle ürün ve kitler teşhis yöntemlerinde uygulama amacı taşıdığından </w:t>
      </w:r>
      <w:proofErr w:type="spellStart"/>
      <w:r w:rsidRPr="00E92F8F">
        <w:rPr>
          <w:rFonts w:cstheme="minorHAnsi"/>
        </w:rPr>
        <w:t>patentlenebilirlik</w:t>
      </w:r>
      <w:proofErr w:type="spellEnd"/>
      <w:r w:rsidRPr="00E92F8F">
        <w:rPr>
          <w:rFonts w:cstheme="minorHAnsi"/>
        </w:rPr>
        <w:t xml:space="preserve"> kapsamı dışında tutulmamalıdır. Ayrıca biyolojik parametrelere dayalı teşhisleri içeren yöntem ve kullanımlar da patent korumasında olmalıdır.</w:t>
      </w:r>
    </w:p>
    <w:p w:rsidR="00C543FA" w:rsidRPr="00E92F8F" w:rsidRDefault="00C543FA" w:rsidP="00C543FA">
      <w:pPr>
        <w:pStyle w:val="ListeParagraf"/>
        <w:numPr>
          <w:ilvl w:val="0"/>
          <w:numId w:val="1"/>
        </w:numPr>
        <w:spacing w:before="120" w:after="120" w:line="264" w:lineRule="auto"/>
        <w:jc w:val="both"/>
        <w:rPr>
          <w:rFonts w:cstheme="minorHAnsi"/>
        </w:rPr>
      </w:pPr>
      <w:r w:rsidRPr="00E92F8F">
        <w:rPr>
          <w:rFonts w:cstheme="minorHAnsi"/>
        </w:rPr>
        <w:t xml:space="preserve">Ülkeler, doktor ve/veya veteriner hekimlerin mesleki görevleri kapsamındaki eylemlerini patent ihlali kapsamının dışında tutabilir. </w:t>
      </w:r>
    </w:p>
    <w:p w:rsidR="00C543FA" w:rsidRPr="00E92F8F" w:rsidRDefault="00C543FA" w:rsidP="00C543FA">
      <w:pPr>
        <w:pStyle w:val="ListeParagraf"/>
        <w:spacing w:before="120" w:after="120" w:line="264" w:lineRule="auto"/>
        <w:jc w:val="both"/>
        <w:rPr>
          <w:rFonts w:cstheme="minorHAnsi"/>
        </w:rPr>
      </w:pPr>
    </w:p>
    <w:p w:rsidR="00C543FA" w:rsidRPr="00334849" w:rsidRDefault="00C543FA" w:rsidP="00C543FA">
      <w:pPr>
        <w:spacing w:before="120" w:after="120" w:line="264" w:lineRule="auto"/>
        <w:jc w:val="both"/>
        <w:rPr>
          <w:rFonts w:cstheme="minorHAnsi"/>
          <w:i/>
          <w:iCs/>
          <w:lang w:val="tr-TR"/>
        </w:rPr>
      </w:pPr>
      <w:r w:rsidRPr="00E92F8F">
        <w:rPr>
          <w:rFonts w:cstheme="minorHAnsi"/>
          <w:b/>
          <w:bCs/>
          <w:i/>
          <w:iCs/>
          <w:color w:val="242424"/>
          <w:sz w:val="24"/>
          <w:szCs w:val="24"/>
          <w:shd w:val="clear" w:color="auto" w:fill="FFFFFF"/>
          <w:lang w:val="tr-TR"/>
        </w:rPr>
        <w:t xml:space="preserve">*Ortak Avukat, Gün + Partners, </w:t>
      </w:r>
      <w:hyperlink r:id="rId5" w:history="1">
        <w:r w:rsidRPr="00E92F8F">
          <w:rPr>
            <w:rStyle w:val="Kpr"/>
            <w:rFonts w:cstheme="minorHAnsi"/>
            <w:b/>
            <w:bCs/>
            <w:i/>
            <w:iCs/>
            <w:sz w:val="24"/>
            <w:szCs w:val="24"/>
            <w:shd w:val="clear" w:color="auto" w:fill="FFFFFF"/>
            <w:lang w:val="tr-TR"/>
          </w:rPr>
          <w:t>aysel.korkmaz@gun.av.tr</w:t>
        </w:r>
      </w:hyperlink>
      <w:r w:rsidRPr="00334849">
        <w:rPr>
          <w:rFonts w:cstheme="minorHAnsi"/>
          <w:b/>
          <w:bCs/>
          <w:i/>
          <w:iCs/>
          <w:color w:val="242424"/>
          <w:shd w:val="clear" w:color="auto" w:fill="FFFFFF"/>
          <w:lang w:val="tr-TR"/>
        </w:rPr>
        <w:t xml:space="preserve"> </w:t>
      </w: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71686B"/>
    <w:multiLevelType w:val="hybridMultilevel"/>
    <w:tmpl w:val="2F008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446C68"/>
    <w:multiLevelType w:val="hybridMultilevel"/>
    <w:tmpl w:val="1F22A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3FA"/>
    <w:rsid w:val="00164C4B"/>
    <w:rsid w:val="00C543FA"/>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9C3C1-3B92-4479-ADA8-F3DD0F3D0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43F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qFormat/>
    <w:rsid w:val="00C543FA"/>
    <w:pPr>
      <w:spacing w:after="180" w:line="260" w:lineRule="atLeast"/>
    </w:pPr>
    <w:rPr>
      <w:rFonts w:eastAsiaTheme="minorEastAsia"/>
      <w:szCs w:val="28"/>
      <w:lang w:eastAsia="zh-CN"/>
    </w:rPr>
  </w:style>
  <w:style w:type="character" w:customStyle="1" w:styleId="GvdeMetniChar">
    <w:name w:val="Gövde Metni Char"/>
    <w:basedOn w:val="VarsaylanParagrafYazTipi"/>
    <w:link w:val="GvdeMetni"/>
    <w:rsid w:val="00C543FA"/>
    <w:rPr>
      <w:rFonts w:eastAsiaTheme="minorEastAsia"/>
      <w:szCs w:val="28"/>
      <w:lang w:eastAsia="zh-CN"/>
    </w:rPr>
  </w:style>
  <w:style w:type="character" w:styleId="Kpr">
    <w:name w:val="Hyperlink"/>
    <w:uiPriority w:val="99"/>
    <w:rsid w:val="00C543FA"/>
    <w:rPr>
      <w:color w:val="0000FF"/>
      <w:u w:val="single"/>
    </w:rPr>
  </w:style>
  <w:style w:type="paragraph" w:styleId="ListeParagraf">
    <w:name w:val="List Paragraph"/>
    <w:basedOn w:val="Normal"/>
    <w:uiPriority w:val="34"/>
    <w:qFormat/>
    <w:rsid w:val="00C543FA"/>
    <w:pPr>
      <w:spacing w:before="240"/>
      <w:ind w:left="720"/>
      <w:contextualSpacing/>
    </w:pPr>
    <w:rPr>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ysel.korkmaz@gun.a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1852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2024-02-13T12:45:00Z</dcterms:created>
  <dcterms:modified xsi:type="dcterms:W3CDTF">2024-02-13T12:45:00Z</dcterms:modified>
</cp:coreProperties>
</file>