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2F" w:rsidRPr="00E83A78" w:rsidRDefault="00D4272F" w:rsidP="00D4272F">
      <w:pPr>
        <w:pStyle w:val="GvdeMetni"/>
        <w:spacing w:before="120" w:after="120" w:line="264" w:lineRule="auto"/>
        <w:jc w:val="right"/>
        <w:rPr>
          <w:rFonts w:cstheme="minorHAnsi"/>
          <w:b/>
          <w:sz w:val="24"/>
          <w:szCs w:val="24"/>
          <w:lang w:val="tr-TR"/>
        </w:rPr>
      </w:pPr>
      <w:r w:rsidRPr="00E83A78">
        <w:rPr>
          <w:rFonts w:cstheme="minorHAnsi"/>
          <w:b/>
          <w:sz w:val="24"/>
          <w:szCs w:val="24"/>
          <w:lang w:val="tr-TR"/>
        </w:rPr>
        <w:t>Muazzez Korutürk*</w:t>
      </w:r>
    </w:p>
    <w:p w:rsidR="00D4272F" w:rsidRPr="00241592" w:rsidRDefault="00D4272F" w:rsidP="00D4272F">
      <w:pPr>
        <w:spacing w:before="120" w:after="120" w:line="264" w:lineRule="auto"/>
        <w:jc w:val="right"/>
        <w:rPr>
          <w:rFonts w:cstheme="minorHAnsi"/>
          <w:b/>
          <w:bCs/>
          <w:i/>
          <w:iCs/>
          <w:lang w:val="tr-TR"/>
        </w:rPr>
      </w:pPr>
      <w:r w:rsidRPr="00E83A78">
        <w:rPr>
          <w:rFonts w:cstheme="minorHAnsi"/>
          <w:b/>
          <w:bCs/>
          <w:i/>
          <w:iCs/>
          <w:sz w:val="24"/>
          <w:szCs w:val="24"/>
          <w:lang w:val="tr-TR"/>
        </w:rPr>
        <w:t xml:space="preserve">AIPPI Türkiye / Fikri Mülkiyet Hakları Koruma </w:t>
      </w:r>
      <w:proofErr w:type="spellStart"/>
      <w:r w:rsidRPr="00E83A78">
        <w:rPr>
          <w:rFonts w:cstheme="minorHAnsi"/>
          <w:b/>
          <w:bCs/>
          <w:i/>
          <w:iCs/>
          <w:sz w:val="24"/>
          <w:szCs w:val="24"/>
          <w:lang w:val="tr-TR"/>
        </w:rPr>
        <w:t>Derneği</w:t>
      </w:r>
      <w:proofErr w:type="spellEnd"/>
      <w:r w:rsidRPr="00E83A78">
        <w:rPr>
          <w:rFonts w:cstheme="minorHAnsi"/>
          <w:b/>
          <w:bCs/>
          <w:i/>
          <w:iCs/>
          <w:sz w:val="24"/>
          <w:szCs w:val="24"/>
          <w:lang w:val="tr-TR"/>
        </w:rPr>
        <w:t xml:space="preserve"> Üyesi</w:t>
      </w:r>
    </w:p>
    <w:p w:rsidR="00D4272F" w:rsidRPr="00241592" w:rsidRDefault="00D4272F" w:rsidP="00D4272F">
      <w:pPr>
        <w:spacing w:before="120" w:after="120" w:line="264" w:lineRule="auto"/>
        <w:jc w:val="center"/>
        <w:rPr>
          <w:rFonts w:cstheme="minorHAnsi"/>
          <w:sz w:val="26"/>
          <w:szCs w:val="26"/>
          <w:lang w:val="tr-TR"/>
        </w:rPr>
      </w:pPr>
      <w:bookmarkStart w:id="0" w:name="_GoBack"/>
      <w:r w:rsidRPr="00241592">
        <w:rPr>
          <w:rFonts w:cstheme="minorHAnsi"/>
          <w:b/>
          <w:sz w:val="26"/>
          <w:szCs w:val="26"/>
          <w:lang w:val="tr-TR"/>
        </w:rPr>
        <w:t>AIPPI 2022 Genel Konu Sorusu: Hukuk Davalarında Ticari Sırların Korunması</w:t>
      </w:r>
    </w:p>
    <w:bookmarkEnd w:id="0"/>
    <w:p w:rsidR="00D4272F" w:rsidRPr="00E83A78" w:rsidRDefault="00D4272F" w:rsidP="00D4272F">
      <w:pPr>
        <w:spacing w:before="120" w:after="120" w:line="264" w:lineRule="auto"/>
        <w:rPr>
          <w:rFonts w:cstheme="minorHAnsi"/>
          <w:sz w:val="24"/>
          <w:szCs w:val="24"/>
          <w:lang w:val="tr-TR"/>
        </w:rPr>
      </w:pPr>
      <w:r w:rsidRPr="00E83A78">
        <w:rPr>
          <w:rFonts w:cstheme="minorHAnsi"/>
          <w:sz w:val="24"/>
          <w:szCs w:val="24"/>
          <w:lang w:val="tr-TR"/>
        </w:rPr>
        <w:t>AIPPI 2022 Dünya Kongresi’nde tartışılan genel hukuk konusu ‘Hukuk Davalarında Ticari Sırların Korunması’ oldu.</w:t>
      </w:r>
    </w:p>
    <w:p w:rsidR="00D4272F" w:rsidRPr="00E83A78" w:rsidRDefault="00D4272F" w:rsidP="00D4272F">
      <w:pPr>
        <w:spacing w:before="120" w:after="120" w:line="264" w:lineRule="auto"/>
        <w:rPr>
          <w:rFonts w:cstheme="minorHAnsi"/>
          <w:sz w:val="24"/>
          <w:szCs w:val="24"/>
          <w:lang w:val="tr-TR"/>
        </w:rPr>
      </w:pPr>
      <w:r w:rsidRPr="00E83A78">
        <w:rPr>
          <w:rFonts w:cstheme="minorHAnsi"/>
          <w:sz w:val="24"/>
          <w:szCs w:val="24"/>
          <w:lang w:val="tr-TR"/>
        </w:rPr>
        <w:t xml:space="preserve">Konunun kapsamı AIPPI tarafından yalnızca hukuk davaları ile ve mahkemeler nezdinde yürütülen hukuki </w:t>
      </w:r>
      <w:proofErr w:type="gramStart"/>
      <w:r w:rsidRPr="00E83A78">
        <w:rPr>
          <w:rFonts w:cstheme="minorHAnsi"/>
          <w:sz w:val="24"/>
          <w:szCs w:val="24"/>
          <w:lang w:val="tr-TR"/>
        </w:rPr>
        <w:t>prosedürler</w:t>
      </w:r>
      <w:proofErr w:type="gramEnd"/>
      <w:r w:rsidRPr="00E83A78">
        <w:rPr>
          <w:rFonts w:cstheme="minorHAnsi"/>
          <w:sz w:val="24"/>
          <w:szCs w:val="24"/>
          <w:lang w:val="tr-TR"/>
        </w:rPr>
        <w:t xml:space="preserve"> esnasında ticari sırrın korunması ile sınırlandırılmıştır.</w:t>
      </w:r>
    </w:p>
    <w:p w:rsidR="00D4272F" w:rsidRPr="00E83A78" w:rsidRDefault="00D4272F" w:rsidP="00D4272F">
      <w:pPr>
        <w:spacing w:before="120" w:after="120" w:line="264" w:lineRule="auto"/>
        <w:rPr>
          <w:rFonts w:cstheme="minorHAnsi"/>
          <w:sz w:val="24"/>
          <w:szCs w:val="24"/>
          <w:lang w:val="tr-TR"/>
        </w:rPr>
      </w:pPr>
      <w:r w:rsidRPr="00E83A78">
        <w:rPr>
          <w:rFonts w:cstheme="minorHAnsi"/>
          <w:sz w:val="24"/>
          <w:szCs w:val="24"/>
          <w:lang w:val="tr-TR"/>
        </w:rPr>
        <w:t>AIPPI, bu çalışma sorularında;</w:t>
      </w:r>
    </w:p>
    <w:p w:rsidR="00D4272F" w:rsidRPr="00E83A78" w:rsidRDefault="00D4272F" w:rsidP="00D4272F">
      <w:pPr>
        <w:pStyle w:val="ListeParagraf"/>
        <w:widowControl w:val="0"/>
        <w:numPr>
          <w:ilvl w:val="0"/>
          <w:numId w:val="1"/>
        </w:numPr>
        <w:spacing w:before="120" w:after="120" w:line="264" w:lineRule="auto"/>
        <w:jc w:val="both"/>
        <w:rPr>
          <w:rFonts w:cstheme="minorHAnsi"/>
        </w:rPr>
      </w:pPr>
      <w:r w:rsidRPr="00E83A78">
        <w:rPr>
          <w:rFonts w:cstheme="minorHAnsi"/>
        </w:rPr>
        <w:t>Hukuk davalarında ticari sırların ifşa edilmesine karşı korunması, bunların gizliliğinin muhafaza edilmesi ve/veya ifşa edilmesini kısıtlamak için alınabilecek ve/veya alınması gereken özel tedbirleri,</w:t>
      </w:r>
    </w:p>
    <w:p w:rsidR="00D4272F" w:rsidRPr="00E83A78" w:rsidRDefault="00D4272F" w:rsidP="00D4272F">
      <w:pPr>
        <w:pStyle w:val="ListeParagraf"/>
        <w:widowControl w:val="0"/>
        <w:numPr>
          <w:ilvl w:val="0"/>
          <w:numId w:val="1"/>
        </w:numPr>
        <w:spacing w:before="120" w:after="120" w:line="264" w:lineRule="auto"/>
        <w:jc w:val="both"/>
        <w:rPr>
          <w:rFonts w:cstheme="minorHAnsi"/>
        </w:rPr>
      </w:pPr>
      <w:r w:rsidRPr="00E83A78">
        <w:rPr>
          <w:rFonts w:cstheme="minorHAnsi"/>
        </w:rPr>
        <w:t>Bir tarafın kendisine karşı açılan davayı bilme hakkı ve dolayısıyla, bir yanda ticari sırların ifşa edilmesine karşı korunması gerekliliği ile diğer yanda ilgili tarafın adil yargılanma hakkının korunması gerekliliği arasındaki çatışma olasılığını,</w:t>
      </w:r>
    </w:p>
    <w:p w:rsidR="00D4272F" w:rsidRPr="00E83A78" w:rsidRDefault="00D4272F" w:rsidP="00D4272F">
      <w:pPr>
        <w:spacing w:before="120" w:after="120" w:line="264" w:lineRule="auto"/>
        <w:jc w:val="both"/>
        <w:rPr>
          <w:rFonts w:cstheme="minorHAnsi"/>
          <w:sz w:val="24"/>
          <w:szCs w:val="24"/>
          <w:lang w:val="tr-TR"/>
        </w:rPr>
      </w:pPr>
      <w:proofErr w:type="gramStart"/>
      <w:r w:rsidRPr="00E83A78">
        <w:rPr>
          <w:rFonts w:cstheme="minorHAnsi"/>
          <w:sz w:val="24"/>
          <w:szCs w:val="24"/>
          <w:lang w:val="tr-TR"/>
        </w:rPr>
        <w:t>tartışmıştır</w:t>
      </w:r>
      <w:proofErr w:type="gramEnd"/>
      <w:r w:rsidRPr="00E83A78">
        <w:rPr>
          <w:rFonts w:cstheme="minorHAnsi"/>
          <w:sz w:val="24"/>
          <w:szCs w:val="24"/>
          <w:lang w:val="tr-TR"/>
        </w:rPr>
        <w:t>.</w:t>
      </w:r>
    </w:p>
    <w:p w:rsidR="00D4272F" w:rsidRPr="00E83A78" w:rsidRDefault="00D4272F" w:rsidP="00D4272F">
      <w:pPr>
        <w:spacing w:before="120" w:after="120" w:line="264" w:lineRule="auto"/>
        <w:jc w:val="both"/>
        <w:rPr>
          <w:rFonts w:cstheme="minorHAnsi"/>
          <w:sz w:val="24"/>
          <w:szCs w:val="24"/>
          <w:lang w:val="tr-TR"/>
        </w:rPr>
      </w:pPr>
      <w:r w:rsidRPr="00E83A78">
        <w:rPr>
          <w:rFonts w:cstheme="minorHAnsi"/>
          <w:sz w:val="24"/>
          <w:szCs w:val="24"/>
          <w:lang w:val="tr-TR"/>
        </w:rPr>
        <w:t>Çalışmanın can alıcı noktası, bir tarafın kendisine karşı açılan davayı bilme hakkı kapsamında ileri sürülen ticari sırra ne derecede vakıf olması gerektiği hususu derinlemesine tartışılmıştır. Bu noktada AIPPI, kendisine karşı ticari sır hakkı ileri sürülen kişi ile ticari sır hakkına sahip olan kişi arasında ‘Adil Denge’ ilkesinin gözetilmesi gerektiğini bildirilmiştir.</w:t>
      </w:r>
    </w:p>
    <w:p w:rsidR="00D4272F" w:rsidRPr="00E83A78" w:rsidRDefault="00D4272F" w:rsidP="00D4272F">
      <w:pPr>
        <w:spacing w:before="120" w:after="120" w:line="264" w:lineRule="auto"/>
        <w:jc w:val="both"/>
        <w:rPr>
          <w:rFonts w:cstheme="minorHAnsi"/>
          <w:sz w:val="24"/>
          <w:szCs w:val="24"/>
          <w:lang w:val="tr-TR"/>
        </w:rPr>
      </w:pPr>
      <w:r w:rsidRPr="00E83A78">
        <w:rPr>
          <w:rFonts w:cstheme="minorHAnsi"/>
          <w:sz w:val="24"/>
          <w:szCs w:val="24"/>
          <w:lang w:val="tr-TR"/>
        </w:rPr>
        <w:t>Önemle belirtmek gerekir ki, ticari sırrın bir davanın her aşamasında korunması gerektiği belirtilmiştir.</w:t>
      </w:r>
    </w:p>
    <w:p w:rsidR="00D4272F" w:rsidRPr="00E83A78" w:rsidRDefault="00D4272F" w:rsidP="00D4272F">
      <w:pPr>
        <w:spacing w:before="120" w:after="120" w:line="264" w:lineRule="auto"/>
        <w:jc w:val="both"/>
        <w:rPr>
          <w:rFonts w:cstheme="minorHAnsi"/>
          <w:sz w:val="24"/>
          <w:szCs w:val="24"/>
          <w:lang w:val="tr-TR"/>
        </w:rPr>
      </w:pPr>
      <w:r w:rsidRPr="00E83A78">
        <w:rPr>
          <w:rFonts w:cstheme="minorHAnsi"/>
          <w:sz w:val="24"/>
          <w:szCs w:val="24"/>
          <w:lang w:val="tr-TR"/>
        </w:rPr>
        <w:t xml:space="preserve">Delil toplama </w:t>
      </w:r>
      <w:proofErr w:type="gramStart"/>
      <w:r w:rsidRPr="00E83A78">
        <w:rPr>
          <w:rFonts w:cstheme="minorHAnsi"/>
          <w:sz w:val="24"/>
          <w:szCs w:val="24"/>
          <w:lang w:val="tr-TR"/>
        </w:rPr>
        <w:t>prosedürleri</w:t>
      </w:r>
      <w:proofErr w:type="gramEnd"/>
      <w:r w:rsidRPr="00E83A78">
        <w:rPr>
          <w:rFonts w:cstheme="minorHAnsi"/>
          <w:sz w:val="24"/>
          <w:szCs w:val="24"/>
          <w:lang w:val="tr-TR"/>
        </w:rPr>
        <w:t xml:space="preserve"> sürecinde, bir ticari sırrın minimum düzeyde ifşa edilmesi için çeşitli önlemler önerilmiş ve bir ticari sırrın azami düzeyde korunması için önlemler alınması gerektiği belirtilmiştir.</w:t>
      </w:r>
    </w:p>
    <w:p w:rsidR="00D4272F" w:rsidRPr="00E83A78" w:rsidRDefault="00D4272F" w:rsidP="00D4272F">
      <w:pPr>
        <w:spacing w:before="120" w:after="120" w:line="264" w:lineRule="auto"/>
        <w:jc w:val="both"/>
        <w:rPr>
          <w:rFonts w:cstheme="minorHAnsi"/>
          <w:sz w:val="24"/>
          <w:szCs w:val="24"/>
          <w:lang w:val="tr-TR"/>
        </w:rPr>
      </w:pPr>
      <w:r w:rsidRPr="00E83A78">
        <w:rPr>
          <w:rFonts w:cstheme="minorHAnsi"/>
          <w:sz w:val="24"/>
          <w:szCs w:val="24"/>
          <w:lang w:val="tr-TR"/>
        </w:rPr>
        <w:t>Bunun yanı sıra, ticari sırların ayrıntılarının mahkeme nezdinde yürütülen işlemler esnasında kamuya açıklanmadan önce okunaksız hale getirilmesi önerilmiştir.</w:t>
      </w:r>
    </w:p>
    <w:p w:rsidR="00D4272F" w:rsidRPr="00E83A78" w:rsidRDefault="00D4272F" w:rsidP="00D4272F">
      <w:pPr>
        <w:spacing w:before="120" w:after="120" w:line="264" w:lineRule="auto"/>
        <w:jc w:val="both"/>
        <w:rPr>
          <w:rFonts w:cstheme="minorHAnsi"/>
          <w:sz w:val="24"/>
          <w:szCs w:val="24"/>
          <w:lang w:val="tr-TR"/>
        </w:rPr>
      </w:pPr>
      <w:r w:rsidRPr="00E83A78">
        <w:rPr>
          <w:rFonts w:cstheme="minorHAnsi"/>
          <w:sz w:val="24"/>
          <w:szCs w:val="24"/>
          <w:lang w:val="tr-TR"/>
        </w:rPr>
        <w:t>Ticari sırların konu olduğu hukuk davalarının sonunda ise mahkeme tarafından ticari sırrın korunmaya devam edilmesi ve aynı şekilde bir davaya konu olan ticari sırrın mahkeme tarafından korunması için gerekli önlemlerin alınması da AIPPI tarafından önerilmiştir.</w:t>
      </w:r>
    </w:p>
    <w:p w:rsidR="00D4272F" w:rsidRPr="00E83A78" w:rsidRDefault="00D4272F" w:rsidP="00D4272F">
      <w:pPr>
        <w:spacing w:before="120" w:after="120" w:line="264" w:lineRule="auto"/>
        <w:jc w:val="both"/>
        <w:rPr>
          <w:rFonts w:cstheme="minorHAnsi"/>
          <w:sz w:val="24"/>
          <w:szCs w:val="24"/>
          <w:lang w:val="tr-TR"/>
        </w:rPr>
      </w:pPr>
    </w:p>
    <w:p w:rsidR="00D4272F" w:rsidRPr="00E83A78" w:rsidRDefault="00D4272F" w:rsidP="00D4272F">
      <w:pPr>
        <w:spacing w:before="120" w:after="120" w:line="264" w:lineRule="auto"/>
        <w:jc w:val="both"/>
        <w:rPr>
          <w:rFonts w:cstheme="minorHAnsi"/>
          <w:b/>
          <w:bCs/>
          <w:i/>
          <w:iCs/>
          <w:sz w:val="24"/>
          <w:szCs w:val="24"/>
          <w:lang w:val="tr-TR"/>
        </w:rPr>
      </w:pPr>
      <w:r w:rsidRPr="00E83A78">
        <w:rPr>
          <w:rFonts w:cstheme="minorHAnsi"/>
          <w:b/>
          <w:bCs/>
          <w:i/>
          <w:iCs/>
          <w:sz w:val="24"/>
          <w:szCs w:val="24"/>
          <w:lang w:val="tr-TR"/>
        </w:rPr>
        <w:t xml:space="preserve">* Ortak Avukat, Deriş Avukatlık Ortaklığı, </w:t>
      </w:r>
      <w:hyperlink r:id="rId5" w:history="1">
        <w:r w:rsidRPr="00E83A78">
          <w:rPr>
            <w:rStyle w:val="Kpr"/>
            <w:rFonts w:cstheme="minorHAnsi"/>
            <w:b/>
            <w:bCs/>
            <w:i/>
            <w:iCs/>
            <w:sz w:val="24"/>
            <w:szCs w:val="24"/>
            <w:lang w:val="tr-TR"/>
          </w:rPr>
          <w:t>muazzez.koruturk@deris.com</w:t>
        </w:r>
      </w:hyperlink>
      <w:r w:rsidRPr="00E83A78">
        <w:rPr>
          <w:rFonts w:cstheme="minorHAnsi"/>
          <w:b/>
          <w:bCs/>
          <w:i/>
          <w:iCs/>
          <w:sz w:val="24"/>
          <w:szCs w:val="24"/>
          <w:lang w:val="tr-TR"/>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82730"/>
    <w:multiLevelType w:val="hybridMultilevel"/>
    <w:tmpl w:val="23B0630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72F"/>
    <w:rsid w:val="00164C4B"/>
    <w:rsid w:val="00D4272F"/>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C9C2E-5FA4-4C53-B6D1-EB49046D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qFormat/>
    <w:rsid w:val="00D4272F"/>
    <w:pPr>
      <w:spacing w:after="180" w:line="260" w:lineRule="atLeast"/>
    </w:pPr>
    <w:rPr>
      <w:rFonts w:eastAsiaTheme="minorEastAsia"/>
      <w:szCs w:val="28"/>
      <w:lang w:eastAsia="zh-CN"/>
    </w:rPr>
  </w:style>
  <w:style w:type="character" w:customStyle="1" w:styleId="GvdeMetniChar">
    <w:name w:val="Gövde Metni Char"/>
    <w:basedOn w:val="VarsaylanParagrafYazTipi"/>
    <w:link w:val="GvdeMetni"/>
    <w:rsid w:val="00D4272F"/>
    <w:rPr>
      <w:rFonts w:eastAsiaTheme="minorEastAsia"/>
      <w:szCs w:val="28"/>
      <w:lang w:eastAsia="zh-CN"/>
    </w:rPr>
  </w:style>
  <w:style w:type="character" w:styleId="Kpr">
    <w:name w:val="Hyperlink"/>
    <w:uiPriority w:val="99"/>
    <w:rsid w:val="00D4272F"/>
    <w:rPr>
      <w:color w:val="0000FF"/>
      <w:u w:val="single"/>
    </w:rPr>
  </w:style>
  <w:style w:type="paragraph" w:styleId="ListeParagraf">
    <w:name w:val="List Paragraph"/>
    <w:basedOn w:val="Normal"/>
    <w:uiPriority w:val="34"/>
    <w:qFormat/>
    <w:rsid w:val="00D4272F"/>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33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azzez.koruturk@der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1849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2024-02-13T12:43:00Z</dcterms:created>
  <dcterms:modified xsi:type="dcterms:W3CDTF">2024-02-13T12:44:00Z</dcterms:modified>
</cp:coreProperties>
</file>