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E8F" w:rsidRPr="00E83A78" w:rsidRDefault="00792E8F" w:rsidP="00792E8F">
      <w:pPr>
        <w:pStyle w:val="GvdeMetni"/>
        <w:spacing w:before="120" w:after="120" w:line="264" w:lineRule="auto"/>
        <w:jc w:val="right"/>
        <w:rPr>
          <w:rFonts w:cstheme="minorHAnsi"/>
          <w:b/>
          <w:sz w:val="24"/>
          <w:szCs w:val="24"/>
          <w:lang w:val="tr-TR"/>
        </w:rPr>
      </w:pPr>
      <w:r w:rsidRPr="00E83A78">
        <w:rPr>
          <w:rFonts w:cstheme="minorHAnsi"/>
          <w:b/>
          <w:sz w:val="24"/>
          <w:szCs w:val="24"/>
          <w:lang w:val="tr-TR"/>
        </w:rPr>
        <w:t>Sibel Gümüş*</w:t>
      </w:r>
    </w:p>
    <w:p w:rsidR="00792E8F" w:rsidRPr="00E83A78" w:rsidRDefault="00792E8F" w:rsidP="00792E8F">
      <w:pPr>
        <w:spacing w:before="120" w:after="120" w:line="264" w:lineRule="auto"/>
        <w:jc w:val="right"/>
        <w:rPr>
          <w:rFonts w:cstheme="minorHAnsi"/>
          <w:b/>
          <w:bCs/>
          <w:i/>
          <w:iCs/>
          <w:sz w:val="24"/>
          <w:szCs w:val="24"/>
          <w:lang w:val="tr-TR"/>
        </w:rPr>
      </w:pPr>
      <w:r w:rsidRPr="00E83A78">
        <w:rPr>
          <w:rFonts w:cstheme="minorHAnsi"/>
          <w:b/>
          <w:bCs/>
          <w:i/>
          <w:iCs/>
          <w:sz w:val="24"/>
          <w:szCs w:val="24"/>
          <w:lang w:val="tr-TR"/>
        </w:rPr>
        <w:t>AIPPI Türkiye / Fikri Mülkiyet Hakları Koruma Derneği Üyesi</w:t>
      </w:r>
    </w:p>
    <w:p w:rsidR="00792E8F" w:rsidRPr="00241592" w:rsidRDefault="00792E8F" w:rsidP="00792E8F">
      <w:pPr>
        <w:pStyle w:val="GvdeMetni"/>
        <w:spacing w:before="120" w:after="120" w:line="264" w:lineRule="auto"/>
        <w:jc w:val="right"/>
        <w:rPr>
          <w:rFonts w:cstheme="minorHAnsi"/>
          <w:b/>
          <w:szCs w:val="22"/>
          <w:lang w:val="tr-TR"/>
        </w:rPr>
      </w:pPr>
    </w:p>
    <w:p w:rsidR="00792E8F" w:rsidRPr="00241592" w:rsidRDefault="00792E8F" w:rsidP="00792E8F">
      <w:pPr>
        <w:spacing w:before="120" w:after="120" w:line="264" w:lineRule="auto"/>
        <w:jc w:val="center"/>
        <w:rPr>
          <w:rFonts w:cstheme="minorHAnsi"/>
          <w:b/>
          <w:sz w:val="26"/>
          <w:szCs w:val="26"/>
          <w:lang w:val="tr-TR"/>
        </w:rPr>
      </w:pPr>
      <w:r w:rsidRPr="00241592">
        <w:rPr>
          <w:rFonts w:cstheme="minorHAnsi"/>
          <w:b/>
          <w:sz w:val="26"/>
          <w:szCs w:val="26"/>
          <w:lang w:val="tr-TR"/>
        </w:rPr>
        <w:t>AIPPI 2022 Dünya Kongresi San Francisco’da Gerçekleştirildi</w:t>
      </w: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sz w:val="24"/>
          <w:szCs w:val="24"/>
          <w:lang w:val="tr-TR"/>
        </w:rPr>
        <w:t xml:space="preserve">En son 2019 yılında Londra’da fiziki olarak düzenlenen ancak COVID-19 (Coronavirüs) salgını sebebiyle iki yıl üst üste online olarak deneyimlediğimiz </w:t>
      </w:r>
      <w:r w:rsidRPr="00E83A78">
        <w:rPr>
          <w:rFonts w:cstheme="minorHAnsi"/>
          <w:b/>
          <w:sz w:val="24"/>
          <w:szCs w:val="24"/>
          <w:lang w:val="tr-TR"/>
        </w:rPr>
        <w:t>AIPPI Dünya Kongresi</w:t>
      </w:r>
      <w:r w:rsidRPr="00E83A78">
        <w:rPr>
          <w:rFonts w:cstheme="minorHAnsi"/>
          <w:sz w:val="24"/>
          <w:szCs w:val="24"/>
          <w:lang w:val="tr-TR"/>
        </w:rPr>
        <w:t xml:space="preserve">, hayatın nihayet büyük ölçüde normale dönmüş olması ile yeniden fiziki olarak gerçekleştirilebildi. </w:t>
      </w: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b/>
          <w:sz w:val="24"/>
          <w:szCs w:val="24"/>
          <w:lang w:val="tr-TR"/>
        </w:rPr>
        <w:t>10-13 Eylül 2022</w:t>
      </w:r>
      <w:r w:rsidRPr="00E83A78">
        <w:rPr>
          <w:rFonts w:cstheme="minorHAnsi"/>
          <w:sz w:val="24"/>
          <w:szCs w:val="24"/>
          <w:lang w:val="tr-TR"/>
        </w:rPr>
        <w:t xml:space="preserve"> tarihleri arasında </w:t>
      </w:r>
      <w:r w:rsidRPr="00E83A78">
        <w:rPr>
          <w:rFonts w:cstheme="minorHAnsi"/>
          <w:b/>
          <w:sz w:val="24"/>
          <w:szCs w:val="24"/>
          <w:lang w:val="tr-TR"/>
        </w:rPr>
        <w:t>San Francisco</w:t>
      </w:r>
      <w:r w:rsidRPr="00E83A78">
        <w:rPr>
          <w:rFonts w:cstheme="minorHAnsi"/>
          <w:sz w:val="24"/>
          <w:szCs w:val="24"/>
          <w:lang w:val="tr-TR"/>
        </w:rPr>
        <w:t>’da düzenlenen Kongre, olağana dönüş sonrası gerçekleştirilen en geniş katılımlı Fikri Mülkiyet etkinliklerinden biri olarak hafızalarda yer edindi. Hayatımızda yerini yadsıyamayacağımız çevrimiçi olanakların, fikri ve sınai haklar ekosistemine mensup insanların bir arada olmaya duyduğu özlemi ve ihtiyacı gideremediği ve gideremeyeceği bir kez daha anlaşıldı.</w:t>
      </w: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sz w:val="24"/>
          <w:szCs w:val="24"/>
          <w:lang w:val="tr-TR"/>
        </w:rPr>
        <w:t xml:space="preserve">Dört gözle beklenen Kongre’nin gerçekleşmesinden kısa bir süre önce </w:t>
      </w:r>
      <w:r w:rsidRPr="00E83A78">
        <w:rPr>
          <w:rFonts w:cstheme="minorHAnsi"/>
          <w:b/>
          <w:sz w:val="24"/>
          <w:szCs w:val="24"/>
          <w:shd w:val="clear" w:color="auto" w:fill="FFFFFF"/>
          <w:lang w:val="tr-TR"/>
        </w:rPr>
        <w:t>İstanbul’un AIPPI 2023 Dünya Kongresi</w:t>
      </w:r>
      <w:r w:rsidRPr="00E83A78">
        <w:rPr>
          <w:rFonts w:cstheme="minorHAnsi"/>
          <w:sz w:val="24"/>
          <w:szCs w:val="24"/>
          <w:shd w:val="clear" w:color="auto" w:fill="FFFFFF"/>
          <w:lang w:val="tr-TR"/>
        </w:rPr>
        <w:t xml:space="preserve">’ne ev sahipliği yapacağı bilgisinin paylaşılması ile  ulusal grubumuzun heyecanı da katlanmış oldu. </w:t>
      </w: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sz w:val="24"/>
          <w:szCs w:val="24"/>
          <w:lang w:val="tr-TR"/>
        </w:rPr>
        <w:t>Uluslararası Büro ile Kongre Koordinasyon Komitesinin onayı, Venue Selection Committee ’nin desteği ve Yönetim Kurulumuzun yıllardır süregelen hummalı çalışmaları ile gelinen bu noktanın gurur verici olmasının yanı sıra, dünyanın her yerinden meslektaşların önümüzdeki yıl ülkemizde ağırlanacak olması, kendimizi ve kültürümüzü daha iyi tanıtmak için mükemmel bir fırsat olarak bizleri beklemekte.</w:t>
      </w: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sz w:val="24"/>
          <w:szCs w:val="24"/>
          <w:lang w:val="tr-TR"/>
        </w:rPr>
        <w:t xml:space="preserve">Her AIPPI Kongresi gibi San Francisco Kongresi de ExCo toplantıları da dahil olmak üzere AIPPI organlarının alt komite toplantıları, panel oturumları, AIPPI Café‘ler, Women in AIPPI, Young Members Forum, açılış töreni, karşılama resepsiyonu, Cultural Evening, konulu öğle yemekleri ve kapanış yemeği gibi etkinliklerle dopdolu bir içeriğe sahipti. Tüm bu sayılanlara ilave olarak UPC Eğitim Kampı (UPC Boot Camp) da bu yıl her yıldan farklı olarak programa dâhil edildi. </w:t>
      </w: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sz w:val="24"/>
          <w:szCs w:val="24"/>
          <w:lang w:val="tr-TR"/>
        </w:rPr>
        <w:t xml:space="preserve">Elbette Kongre programının </w:t>
      </w:r>
      <w:r w:rsidRPr="00E83A78">
        <w:rPr>
          <w:rFonts w:cstheme="minorHAnsi"/>
          <w:b/>
          <w:sz w:val="24"/>
          <w:szCs w:val="24"/>
          <w:lang w:val="tr-TR"/>
        </w:rPr>
        <w:t>ana öğesi</w:t>
      </w:r>
      <w:r w:rsidRPr="00E83A78">
        <w:rPr>
          <w:rFonts w:cstheme="minorHAnsi"/>
          <w:sz w:val="24"/>
          <w:szCs w:val="24"/>
          <w:lang w:val="tr-TR"/>
        </w:rPr>
        <w:t xml:space="preserve">, her yıl olduğu gibi, ülke gruplarının kendi aralarında istişare ederek mevzuatları doğrultusunda cevapladığı ve sonrasında derlenerek tek bir özet rapor haline getirilen fikri haklara ilişkin konu sorularının, kongre esnasında Study Committee toplantıları ve Plenary Session’lar sonrası ortaya konan taslaklarının ExCo’da oylanması sonucunda oluşan ve </w:t>
      </w:r>
      <w:r w:rsidRPr="00E83A78">
        <w:rPr>
          <w:rFonts w:cstheme="minorHAnsi"/>
          <w:b/>
          <w:sz w:val="24"/>
          <w:szCs w:val="24"/>
          <w:lang w:val="tr-TR"/>
        </w:rPr>
        <w:t>esasen AIPPI’ın temel akademik çalışmaları olan</w:t>
      </w:r>
      <w:r w:rsidRPr="00E83A78">
        <w:rPr>
          <w:rFonts w:cstheme="minorHAnsi"/>
          <w:sz w:val="24"/>
          <w:szCs w:val="24"/>
          <w:lang w:val="tr-TR"/>
        </w:rPr>
        <w:t xml:space="preserve"> </w:t>
      </w:r>
      <w:r w:rsidRPr="00E83A78">
        <w:rPr>
          <w:rFonts w:cstheme="minorHAnsi"/>
          <w:b/>
          <w:sz w:val="24"/>
          <w:szCs w:val="24"/>
          <w:lang w:val="tr-TR"/>
        </w:rPr>
        <w:t>“Yönergeler”</w:t>
      </w:r>
      <w:r w:rsidRPr="00E83A78">
        <w:rPr>
          <w:rFonts w:cstheme="minorHAnsi"/>
          <w:sz w:val="24"/>
          <w:szCs w:val="24"/>
          <w:lang w:val="tr-TR"/>
        </w:rPr>
        <w:t xml:space="preserve"> di.</w:t>
      </w: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sz w:val="24"/>
          <w:szCs w:val="24"/>
          <w:lang w:val="tr-TR"/>
        </w:rPr>
        <w:t xml:space="preserve">Bu yıl söz konusu süreçler kısmen hibrit olarak planlanmış olmakla beraber, sistemin mevcut durumda daha çok fiziki katılımcılara müdahil olma imkânı sunabildiği alınan izlenimler arasındaydı. </w:t>
      </w: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sz w:val="24"/>
          <w:szCs w:val="24"/>
          <w:lang w:val="tr-TR"/>
        </w:rPr>
        <w:t xml:space="preserve">Her zaman olduğu gibi çoğunlukla henüz yerleşik cevaplar bulamayacak kadar güncel, gelişime açık soruları ele alan ve bunlara mümkün olduğunca yeknesak ve uyumlaştırılmış cevaplar bulmayı hedefleyen, AIPPI’ın 2022 yılı için belirlediği </w:t>
      </w:r>
      <w:r w:rsidRPr="00E83A78">
        <w:rPr>
          <w:rFonts w:cstheme="minorHAnsi"/>
          <w:b/>
          <w:sz w:val="24"/>
          <w:szCs w:val="24"/>
          <w:lang w:val="tr-TR"/>
        </w:rPr>
        <w:t>Konu Soruları</w:t>
      </w:r>
      <w:r w:rsidRPr="00E83A78">
        <w:rPr>
          <w:rFonts w:cstheme="minorHAnsi"/>
          <w:sz w:val="24"/>
          <w:szCs w:val="24"/>
          <w:lang w:val="tr-TR"/>
        </w:rPr>
        <w:t xml:space="preserve"> şunlardı:</w:t>
      </w:r>
    </w:p>
    <w:p w:rsidR="00792E8F" w:rsidRPr="00E83A78" w:rsidRDefault="00792E8F" w:rsidP="00792E8F">
      <w:pPr>
        <w:spacing w:before="120" w:after="120" w:line="264" w:lineRule="auto"/>
        <w:jc w:val="both"/>
        <w:rPr>
          <w:rFonts w:cstheme="minorHAnsi"/>
          <w:b/>
          <w:sz w:val="24"/>
          <w:szCs w:val="24"/>
          <w:lang w:val="tr-TR"/>
        </w:rPr>
      </w:pPr>
      <w:r w:rsidRPr="00E83A78">
        <w:rPr>
          <w:rFonts w:cstheme="minorHAnsi"/>
          <w:b/>
          <w:sz w:val="24"/>
          <w:szCs w:val="24"/>
          <w:lang w:val="tr-TR"/>
        </w:rPr>
        <w:t>Markalar</w:t>
      </w:r>
      <w:r w:rsidRPr="00E83A78">
        <w:rPr>
          <w:rFonts w:cstheme="minorHAnsi"/>
          <w:b/>
          <w:sz w:val="24"/>
          <w:szCs w:val="24"/>
          <w:lang w:val="tr-TR"/>
        </w:rPr>
        <w:tab/>
      </w:r>
      <w:r w:rsidRPr="00E83A78">
        <w:rPr>
          <w:rFonts w:cstheme="minorHAnsi"/>
          <w:b/>
          <w:sz w:val="24"/>
          <w:szCs w:val="24"/>
          <w:lang w:val="tr-TR"/>
        </w:rPr>
        <w:tab/>
        <w:t>: Markalar ve İnternet ve Sosyal Medya</w:t>
      </w: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sz w:val="24"/>
          <w:szCs w:val="24"/>
          <w:lang w:val="tr-TR"/>
        </w:rPr>
        <w:t xml:space="preserve">Ulusal mevzuatta düzenlenen tüm ihlal çeşitlerinin markanın internet veya sosyal medyadaki kullanımı kapsamında da değerlendirilmesi gerektiği, pazaryeri sağlayıcılarının hızlandırılmış ve etkili </w:t>
      </w:r>
      <w:r w:rsidRPr="00E83A78">
        <w:rPr>
          <w:rFonts w:cstheme="minorHAnsi"/>
          <w:sz w:val="24"/>
          <w:szCs w:val="24"/>
          <w:lang w:val="tr-TR"/>
        </w:rPr>
        <w:lastRenderedPageBreak/>
        <w:t>mekanizmalara sahip olması ve sosyal medya fenomenlerinin sorumluluklarının genişletilmesine ilişkin düzenlemelerin gerektiğine ilişkin yönerge maddeleri kabul gördü.</w:t>
      </w:r>
    </w:p>
    <w:p w:rsidR="00792E8F" w:rsidRPr="00E83A78" w:rsidRDefault="00792E8F" w:rsidP="00792E8F">
      <w:pPr>
        <w:spacing w:before="120" w:after="120" w:line="264" w:lineRule="auto"/>
        <w:jc w:val="both"/>
        <w:rPr>
          <w:rFonts w:cstheme="minorHAnsi"/>
          <w:b/>
          <w:sz w:val="24"/>
          <w:szCs w:val="24"/>
          <w:lang w:val="tr-TR"/>
        </w:rPr>
      </w:pPr>
      <w:r w:rsidRPr="00E83A78">
        <w:rPr>
          <w:rFonts w:cstheme="minorHAnsi"/>
          <w:b/>
          <w:sz w:val="24"/>
          <w:szCs w:val="24"/>
          <w:lang w:val="tr-TR"/>
        </w:rPr>
        <w:t>Patentler</w:t>
      </w:r>
      <w:r w:rsidRPr="00E83A78">
        <w:rPr>
          <w:rFonts w:cstheme="minorHAnsi"/>
          <w:b/>
          <w:sz w:val="24"/>
          <w:szCs w:val="24"/>
          <w:lang w:val="tr-TR"/>
        </w:rPr>
        <w:tab/>
      </w:r>
      <w:r w:rsidRPr="00E83A78">
        <w:rPr>
          <w:rFonts w:cstheme="minorHAnsi"/>
          <w:b/>
          <w:sz w:val="24"/>
          <w:szCs w:val="24"/>
          <w:lang w:val="tr-TR"/>
        </w:rPr>
        <w:tab/>
        <w:t>: Teşhis Yöntemlerinin Patentlenebilirliği</w:t>
      </w: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sz w:val="24"/>
          <w:szCs w:val="24"/>
          <w:lang w:val="tr-TR"/>
        </w:rPr>
        <w:t>İlgili yönerge maddelerinde, teşhis yöntemlerinin araştırma ve geliştirmeye yatırımın teşvik edilmesi amacıyla patentlenebilir konular olarak ele alınması ve bunların patentlenebilirlik kriterlerinin mevzuatta hüküm olmasa dahi kılavuz ya da yönetmelikler aracılığı ile inisiyatife bırakılmaksızın düzenlenmesi gerektiği sonucuna varıldı.</w:t>
      </w:r>
    </w:p>
    <w:p w:rsidR="00792E8F" w:rsidRPr="00E83A78" w:rsidRDefault="00792E8F" w:rsidP="00792E8F">
      <w:pPr>
        <w:spacing w:before="120" w:after="120" w:line="264" w:lineRule="auto"/>
        <w:jc w:val="both"/>
        <w:rPr>
          <w:rFonts w:cstheme="minorHAnsi"/>
          <w:b/>
          <w:sz w:val="24"/>
          <w:szCs w:val="24"/>
          <w:lang w:val="tr-TR"/>
        </w:rPr>
      </w:pPr>
      <w:r w:rsidRPr="00E83A78">
        <w:rPr>
          <w:rFonts w:cstheme="minorHAnsi"/>
          <w:b/>
          <w:sz w:val="24"/>
          <w:szCs w:val="24"/>
          <w:lang w:val="tr-TR"/>
        </w:rPr>
        <w:t>Telif hakkı</w:t>
      </w:r>
      <w:r w:rsidRPr="00E83A78">
        <w:rPr>
          <w:rFonts w:cstheme="minorHAnsi"/>
          <w:b/>
          <w:sz w:val="24"/>
          <w:szCs w:val="24"/>
          <w:lang w:val="tr-TR"/>
        </w:rPr>
        <w:tab/>
      </w:r>
      <w:r w:rsidRPr="00E83A78">
        <w:rPr>
          <w:rFonts w:cstheme="minorHAnsi"/>
          <w:b/>
          <w:sz w:val="24"/>
          <w:szCs w:val="24"/>
          <w:lang w:val="tr-TR"/>
        </w:rPr>
        <w:tab/>
        <w:t>: Manevi Haklar</w:t>
      </w: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sz w:val="24"/>
          <w:szCs w:val="24"/>
          <w:lang w:val="tr-TR"/>
        </w:rPr>
        <w:t>Özel hukuk meseleleri ile sınırlı olarak incelenen ve tüm ülkelerin uyumlaştırma taraftarı olduğu gözlemlenen konu sorusunun yönergesinde, manevi hak kategorilerinin tanımlanması ve manevi hakların telif hakkı yasasının kapsamına dahil olması gerektiği hususuna ilişkin maddeler onandı.</w:t>
      </w:r>
    </w:p>
    <w:p w:rsidR="00792E8F" w:rsidRPr="00E83A78" w:rsidRDefault="00792E8F" w:rsidP="00792E8F">
      <w:pPr>
        <w:spacing w:before="120" w:after="120" w:line="264" w:lineRule="auto"/>
        <w:jc w:val="both"/>
        <w:rPr>
          <w:rFonts w:cstheme="minorHAnsi"/>
          <w:b/>
          <w:sz w:val="24"/>
          <w:szCs w:val="24"/>
          <w:lang w:val="tr-TR"/>
        </w:rPr>
      </w:pPr>
      <w:r w:rsidRPr="00E83A78">
        <w:rPr>
          <w:rFonts w:cstheme="minorHAnsi"/>
          <w:b/>
          <w:sz w:val="24"/>
          <w:szCs w:val="24"/>
          <w:lang w:val="tr-TR"/>
        </w:rPr>
        <w:t>Genel</w:t>
      </w:r>
      <w:r w:rsidRPr="00E83A78">
        <w:rPr>
          <w:rFonts w:cstheme="minorHAnsi"/>
          <w:b/>
          <w:sz w:val="24"/>
          <w:szCs w:val="24"/>
          <w:lang w:val="tr-TR"/>
        </w:rPr>
        <w:tab/>
      </w:r>
      <w:r w:rsidRPr="00E83A78">
        <w:rPr>
          <w:rFonts w:cstheme="minorHAnsi"/>
          <w:b/>
          <w:sz w:val="24"/>
          <w:szCs w:val="24"/>
          <w:lang w:val="tr-TR"/>
        </w:rPr>
        <w:tab/>
      </w:r>
      <w:r w:rsidRPr="00E83A78">
        <w:rPr>
          <w:rFonts w:cstheme="minorHAnsi"/>
          <w:b/>
          <w:sz w:val="24"/>
          <w:szCs w:val="24"/>
          <w:lang w:val="tr-TR"/>
        </w:rPr>
        <w:tab/>
        <w:t>: Hukuk davalarında ticari sırların korunması</w:t>
      </w: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sz w:val="24"/>
          <w:szCs w:val="24"/>
          <w:lang w:val="tr-TR"/>
        </w:rPr>
        <w:t>Tavsiye niteliğinde bir yönergenin ortaya çıktığı konu sorusunda ulusal prosedürlerin uygulanmaya devam etmesi ve adil denge ilkesinin benimsenmesi yönünde maddeler ortaya kondu.</w:t>
      </w: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sz w:val="24"/>
          <w:szCs w:val="24"/>
          <w:lang w:val="tr-TR"/>
        </w:rPr>
        <w:t>Ulusal grubumuzdan 19 üyemizin fiziki katılım sağladığı San Francisco Kongresi‘nde Türkiye; başkanımız, 7 delege ve Büro Birinci Genel Sekreter Yardımcısı Sn. Nazlı Korkut Hanım‘ın oy hakkı ile beraber toplamda 9 oy ile temsil hakkına sahip oldu.</w:t>
      </w:r>
    </w:p>
    <w:p w:rsidR="00792E8F" w:rsidRPr="00E83A78" w:rsidRDefault="00792E8F" w:rsidP="00792E8F">
      <w:pPr>
        <w:spacing w:before="120" w:after="120" w:line="264" w:lineRule="auto"/>
        <w:jc w:val="both"/>
        <w:rPr>
          <w:rFonts w:cstheme="minorHAnsi"/>
          <w:sz w:val="24"/>
          <w:szCs w:val="24"/>
          <w:lang w:val="tr-TR"/>
        </w:rPr>
      </w:pP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sz w:val="24"/>
          <w:szCs w:val="24"/>
          <w:lang w:val="tr-TR"/>
        </w:rPr>
        <w:t xml:space="preserve">Ayrıca, </w:t>
      </w:r>
      <w:r w:rsidRPr="00E83A78">
        <w:rPr>
          <w:rFonts w:cstheme="minorHAnsi"/>
          <w:b/>
          <w:sz w:val="24"/>
          <w:szCs w:val="24"/>
          <w:lang w:val="tr-TR"/>
        </w:rPr>
        <w:t>İstanbul</w:t>
      </w:r>
      <w:r w:rsidRPr="00E83A78">
        <w:rPr>
          <w:rFonts w:cstheme="minorHAnsi"/>
          <w:sz w:val="24"/>
          <w:szCs w:val="24"/>
          <w:lang w:val="tr-TR"/>
        </w:rPr>
        <w:t xml:space="preserve">'da gerçekleşecek olan </w:t>
      </w:r>
      <w:r w:rsidRPr="00E83A78">
        <w:rPr>
          <w:rFonts w:cstheme="minorHAnsi"/>
          <w:b/>
          <w:sz w:val="24"/>
          <w:szCs w:val="24"/>
          <w:lang w:val="tr-TR"/>
        </w:rPr>
        <w:t>AIPPI 2023 Dünya Kongresi</w:t>
      </w:r>
      <w:r w:rsidRPr="00E83A78">
        <w:rPr>
          <w:rFonts w:cstheme="minorHAnsi"/>
          <w:sz w:val="24"/>
          <w:szCs w:val="24"/>
          <w:lang w:val="tr-TR"/>
        </w:rPr>
        <w:t xml:space="preserve"> esnasında ele alınacak Çalışma Soruları belirlenmiş olup söz konusu başlıklar San Francisco’da konu soruları tanıtım toplantısında aşağıdaki şekilde ilan edildi: </w:t>
      </w:r>
    </w:p>
    <w:p w:rsidR="00792E8F" w:rsidRPr="00E83A78" w:rsidRDefault="00792E8F" w:rsidP="00792E8F">
      <w:pPr>
        <w:spacing w:before="120" w:after="120" w:line="264" w:lineRule="auto"/>
        <w:jc w:val="both"/>
        <w:rPr>
          <w:rFonts w:cstheme="minorHAnsi"/>
          <w:b/>
          <w:sz w:val="24"/>
          <w:szCs w:val="24"/>
          <w:lang w:val="tr-TR"/>
        </w:rPr>
      </w:pPr>
      <w:r w:rsidRPr="00E83A78">
        <w:rPr>
          <w:rFonts w:cstheme="minorHAnsi"/>
          <w:b/>
          <w:sz w:val="24"/>
          <w:szCs w:val="24"/>
          <w:lang w:val="tr-TR"/>
        </w:rPr>
        <w:t>Ticari Markalar</w:t>
      </w:r>
      <w:r w:rsidRPr="00E83A78">
        <w:rPr>
          <w:rFonts w:cstheme="minorHAnsi"/>
          <w:b/>
          <w:sz w:val="24"/>
          <w:szCs w:val="24"/>
          <w:lang w:val="tr-TR"/>
        </w:rPr>
        <w:tab/>
        <w:t>: Markanın Ciddi Kullanımının İspatlanması</w:t>
      </w:r>
    </w:p>
    <w:p w:rsidR="00792E8F" w:rsidRPr="00E83A78" w:rsidRDefault="00792E8F" w:rsidP="00792E8F">
      <w:pPr>
        <w:spacing w:before="120" w:after="120" w:line="264" w:lineRule="auto"/>
        <w:jc w:val="both"/>
        <w:rPr>
          <w:rFonts w:cstheme="minorHAnsi"/>
          <w:b/>
          <w:sz w:val="24"/>
          <w:szCs w:val="24"/>
          <w:lang w:val="tr-TR"/>
        </w:rPr>
      </w:pPr>
      <w:r w:rsidRPr="00E83A78">
        <w:rPr>
          <w:rFonts w:cstheme="minorHAnsi"/>
          <w:b/>
          <w:sz w:val="24"/>
          <w:szCs w:val="24"/>
          <w:lang w:val="tr-TR"/>
        </w:rPr>
        <w:t>Patentler</w:t>
      </w:r>
      <w:r w:rsidRPr="00E83A78">
        <w:rPr>
          <w:rFonts w:cstheme="minorHAnsi"/>
          <w:b/>
          <w:sz w:val="24"/>
          <w:szCs w:val="24"/>
          <w:lang w:val="tr-TR"/>
        </w:rPr>
        <w:tab/>
      </w:r>
      <w:r w:rsidRPr="00E83A78">
        <w:rPr>
          <w:rFonts w:cstheme="minorHAnsi"/>
          <w:b/>
          <w:sz w:val="24"/>
          <w:szCs w:val="24"/>
          <w:lang w:val="tr-TR"/>
        </w:rPr>
        <w:tab/>
        <w:t>: Eşdeğerler Doktrini</w:t>
      </w:r>
    </w:p>
    <w:p w:rsidR="00792E8F" w:rsidRPr="00E83A78" w:rsidRDefault="00792E8F" w:rsidP="00792E8F">
      <w:pPr>
        <w:spacing w:before="120" w:after="120" w:line="264" w:lineRule="auto"/>
        <w:jc w:val="both"/>
        <w:rPr>
          <w:rFonts w:cstheme="minorHAnsi"/>
          <w:b/>
          <w:sz w:val="24"/>
          <w:szCs w:val="24"/>
          <w:lang w:val="tr-TR"/>
        </w:rPr>
      </w:pPr>
      <w:r w:rsidRPr="00E83A78">
        <w:rPr>
          <w:rFonts w:cstheme="minorHAnsi"/>
          <w:b/>
          <w:sz w:val="24"/>
          <w:szCs w:val="24"/>
          <w:lang w:val="tr-TR"/>
        </w:rPr>
        <w:t>Telif hakkı</w:t>
      </w:r>
      <w:r w:rsidRPr="00E83A78">
        <w:rPr>
          <w:rFonts w:cstheme="minorHAnsi"/>
          <w:b/>
          <w:sz w:val="24"/>
          <w:szCs w:val="24"/>
          <w:lang w:val="tr-TR"/>
        </w:rPr>
        <w:tab/>
      </w:r>
      <w:r w:rsidRPr="00E83A78">
        <w:rPr>
          <w:rFonts w:cstheme="minorHAnsi"/>
          <w:b/>
          <w:sz w:val="24"/>
          <w:szCs w:val="24"/>
          <w:lang w:val="tr-TR"/>
        </w:rPr>
        <w:tab/>
        <w:t>: Meslek Birlikleri</w:t>
      </w:r>
    </w:p>
    <w:p w:rsidR="00792E8F" w:rsidRPr="00E83A78" w:rsidRDefault="00792E8F" w:rsidP="00792E8F">
      <w:pPr>
        <w:spacing w:before="120" w:after="120" w:line="264" w:lineRule="auto"/>
        <w:jc w:val="both"/>
        <w:rPr>
          <w:rFonts w:cstheme="minorHAnsi"/>
          <w:b/>
          <w:sz w:val="24"/>
          <w:szCs w:val="24"/>
          <w:lang w:val="tr-TR"/>
        </w:rPr>
      </w:pPr>
      <w:r w:rsidRPr="00E83A78">
        <w:rPr>
          <w:rFonts w:cstheme="minorHAnsi"/>
          <w:b/>
          <w:sz w:val="24"/>
          <w:szCs w:val="24"/>
          <w:lang w:val="tr-TR"/>
        </w:rPr>
        <w:t>Genel</w:t>
      </w:r>
      <w:r w:rsidRPr="00E83A78">
        <w:rPr>
          <w:rFonts w:cstheme="minorHAnsi"/>
          <w:b/>
          <w:sz w:val="24"/>
          <w:szCs w:val="24"/>
          <w:lang w:val="tr-TR"/>
        </w:rPr>
        <w:tab/>
      </w:r>
      <w:r w:rsidRPr="00E83A78">
        <w:rPr>
          <w:rFonts w:cstheme="minorHAnsi"/>
          <w:b/>
          <w:sz w:val="24"/>
          <w:szCs w:val="24"/>
          <w:lang w:val="tr-TR"/>
        </w:rPr>
        <w:tab/>
      </w:r>
      <w:r w:rsidRPr="00E83A78">
        <w:rPr>
          <w:rFonts w:cstheme="minorHAnsi"/>
          <w:b/>
          <w:sz w:val="24"/>
          <w:szCs w:val="24"/>
          <w:lang w:val="tr-TR"/>
        </w:rPr>
        <w:tab/>
        <w:t>: Çevrimiçi ihlallerde çevrimiçi pazaryerlerinin sorumluluğu</w:t>
      </w:r>
    </w:p>
    <w:p w:rsidR="00792E8F" w:rsidRPr="00E83A78" w:rsidRDefault="00792E8F" w:rsidP="00792E8F">
      <w:pPr>
        <w:spacing w:before="120" w:after="120" w:line="264" w:lineRule="auto"/>
        <w:jc w:val="both"/>
        <w:rPr>
          <w:rFonts w:cstheme="minorHAnsi"/>
          <w:sz w:val="24"/>
          <w:szCs w:val="24"/>
          <w:lang w:val="tr-TR"/>
        </w:rPr>
      </w:pPr>
      <w:r w:rsidRPr="00E83A78">
        <w:rPr>
          <w:rFonts w:cstheme="minorHAnsi"/>
          <w:sz w:val="24"/>
          <w:szCs w:val="24"/>
          <w:lang w:val="tr-TR"/>
        </w:rPr>
        <w:t xml:space="preserve">Son olarak, Türkiye Grubu olarak bir sonraki yılın tanıtımı amacı ile sergi/fuar alanında yer verdiğimiz standımıza ve </w:t>
      </w:r>
      <w:r w:rsidRPr="00E83A78">
        <w:rPr>
          <w:rFonts w:cstheme="minorHAnsi"/>
          <w:b/>
          <w:color w:val="000000"/>
          <w:sz w:val="24"/>
          <w:szCs w:val="24"/>
          <w:shd w:val="clear" w:color="auto" w:fill="FFFFFF"/>
          <w:lang w:val="tr-TR"/>
        </w:rPr>
        <w:t>San Francisco Hilton – Cityscape</w:t>
      </w:r>
      <w:r w:rsidRPr="00E83A78">
        <w:rPr>
          <w:rFonts w:cstheme="minorHAnsi"/>
          <w:color w:val="000000"/>
          <w:sz w:val="24"/>
          <w:szCs w:val="24"/>
          <w:shd w:val="clear" w:color="auto" w:fill="FFFFFF"/>
          <w:lang w:val="tr-TR"/>
        </w:rPr>
        <w:t xml:space="preserve">’de </w:t>
      </w:r>
      <w:r w:rsidRPr="00E83A78">
        <w:rPr>
          <w:rFonts w:cstheme="minorHAnsi"/>
          <w:sz w:val="24"/>
          <w:szCs w:val="24"/>
          <w:lang w:val="tr-TR"/>
        </w:rPr>
        <w:t xml:space="preserve">gerçekleştirilen, </w:t>
      </w:r>
      <w:r w:rsidRPr="00E83A78">
        <w:rPr>
          <w:rFonts w:cstheme="minorHAnsi"/>
          <w:color w:val="000000"/>
          <w:sz w:val="24"/>
          <w:szCs w:val="24"/>
          <w:shd w:val="clear" w:color="auto" w:fill="FFFFFF"/>
          <w:lang w:val="tr-TR"/>
        </w:rPr>
        <w:t xml:space="preserve">sınırlı sayıda davetli ile gerçekleştirilmesi planlanmasına rağmen sınırsız </w:t>
      </w:r>
      <w:r w:rsidRPr="00E83A78">
        <w:rPr>
          <w:rFonts w:cstheme="minorHAnsi"/>
          <w:color w:val="000000"/>
          <w:sz w:val="24"/>
          <w:szCs w:val="24"/>
          <w:shd w:val="clear" w:color="auto" w:fill="FFFFFF"/>
          <w:lang w:val="tr-TR"/>
        </w:rPr>
        <w:sym w:font="Wingdings" w:char="F04A"/>
      </w:r>
      <w:r w:rsidRPr="00E83A78">
        <w:rPr>
          <w:rFonts w:cstheme="minorHAnsi"/>
          <w:color w:val="000000"/>
          <w:sz w:val="24"/>
          <w:szCs w:val="24"/>
          <w:shd w:val="clear" w:color="auto" w:fill="FFFFFF"/>
          <w:lang w:val="tr-TR"/>
        </w:rPr>
        <w:t xml:space="preserve"> sayıda konuk ağırlayan </w:t>
      </w:r>
      <w:r w:rsidRPr="00E83A78">
        <w:rPr>
          <w:rFonts w:cstheme="minorHAnsi"/>
          <w:sz w:val="24"/>
          <w:szCs w:val="24"/>
          <w:lang w:val="tr-TR"/>
        </w:rPr>
        <w:t>resepsiyonumuza gösterilen bu ilginin İstanbul’da gerçekleşecek Kongre‘ye katılımın beklenenin çok üzerinde olacağı yönünde umutlarımızı yeşerttiğine de değinmeden edemeyiz. Gerek Kongre süresince stantta gerekse muhteşem bir ambiyansta geçen resepsiyon boyunca, her bir katılımcı ve davetliye ayrı ilgi ve alaka gösteren ve ağırlanmaları için emeklerini esirgemeyen ulusal grup üyelerine gösterdikleri olağanüstü çaba için bir kez de buradan teşekkür etmeyi bir borç bilmekteyiz</w:t>
      </w:r>
      <w:bookmarkStart w:id="0" w:name="_GoBack"/>
      <w:bookmarkEnd w:id="0"/>
      <w:r w:rsidRPr="00E83A78">
        <w:rPr>
          <w:rFonts w:cstheme="minorHAnsi"/>
          <w:sz w:val="24"/>
          <w:szCs w:val="24"/>
          <w:lang w:val="tr-TR"/>
        </w:rPr>
        <w:t>.</w:t>
      </w:r>
    </w:p>
    <w:p w:rsidR="00792E8F" w:rsidRPr="00E83A78" w:rsidRDefault="00792E8F" w:rsidP="00792E8F">
      <w:pPr>
        <w:spacing w:before="120" w:after="120" w:line="264" w:lineRule="auto"/>
        <w:jc w:val="both"/>
        <w:rPr>
          <w:rFonts w:cstheme="minorHAnsi"/>
          <w:sz w:val="24"/>
          <w:szCs w:val="24"/>
          <w:lang w:val="tr-TR"/>
        </w:rPr>
      </w:pPr>
    </w:p>
    <w:p w:rsidR="00792E8F" w:rsidRPr="00DD4345" w:rsidRDefault="00792E8F" w:rsidP="00792E8F">
      <w:pPr>
        <w:spacing w:before="120" w:after="120" w:line="264" w:lineRule="auto"/>
        <w:jc w:val="both"/>
        <w:rPr>
          <w:rFonts w:cstheme="minorHAnsi"/>
          <w:b/>
          <w:bCs/>
          <w:i/>
          <w:iCs/>
          <w:lang w:val="tr-TR"/>
        </w:rPr>
      </w:pPr>
      <w:r w:rsidRPr="00E83A78">
        <w:rPr>
          <w:rFonts w:cstheme="minorHAnsi"/>
          <w:b/>
          <w:bCs/>
          <w:i/>
          <w:iCs/>
          <w:sz w:val="24"/>
          <w:szCs w:val="24"/>
          <w:lang w:val="tr-TR"/>
        </w:rPr>
        <w:t xml:space="preserve">* Patent ve Marka Vekili, Efor Patent, </w:t>
      </w:r>
      <w:hyperlink r:id="rId4" w:history="1">
        <w:r w:rsidRPr="00E83A78">
          <w:rPr>
            <w:rStyle w:val="Kpr"/>
            <w:rFonts w:cstheme="minorHAnsi"/>
            <w:b/>
            <w:bCs/>
            <w:i/>
            <w:iCs/>
            <w:sz w:val="24"/>
            <w:szCs w:val="24"/>
            <w:lang w:val="tr-TR"/>
          </w:rPr>
          <w:t>sibel.gumus@eforpatent.com</w:t>
        </w:r>
      </w:hyperlink>
      <w:r w:rsidRPr="00DD4345">
        <w:rPr>
          <w:rFonts w:cstheme="minorHAnsi"/>
          <w:b/>
          <w:bCs/>
          <w:i/>
          <w:iCs/>
          <w:lang w:val="tr-TR"/>
        </w:rPr>
        <w:t xml:space="preserve"> </w:t>
      </w:r>
    </w:p>
    <w:p w:rsidR="00164C4B" w:rsidRDefault="00164C4B"/>
    <w:sectPr w:rsidR="00164C4B"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E8F"/>
    <w:rsid w:val="00164C4B"/>
    <w:rsid w:val="00792E8F"/>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2835F4-1FFF-404F-9D88-D4D412EAC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E8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qFormat/>
    <w:rsid w:val="00792E8F"/>
    <w:pPr>
      <w:spacing w:after="180" w:line="260" w:lineRule="atLeast"/>
    </w:pPr>
    <w:rPr>
      <w:rFonts w:eastAsiaTheme="minorEastAsia"/>
      <w:szCs w:val="28"/>
      <w:lang w:eastAsia="zh-CN"/>
    </w:rPr>
  </w:style>
  <w:style w:type="character" w:customStyle="1" w:styleId="GvdeMetniChar">
    <w:name w:val="Gövde Metni Char"/>
    <w:basedOn w:val="VarsaylanParagrafYazTipi"/>
    <w:link w:val="GvdeMetni"/>
    <w:rsid w:val="00792E8F"/>
    <w:rPr>
      <w:rFonts w:eastAsiaTheme="minorEastAsia"/>
      <w:szCs w:val="28"/>
      <w:lang w:eastAsia="zh-CN"/>
    </w:rPr>
  </w:style>
  <w:style w:type="character" w:styleId="Kpr">
    <w:name w:val="Hyperlink"/>
    <w:uiPriority w:val="99"/>
    <w:rsid w:val="00792E8F"/>
    <w:rPr>
      <w:color w:val="0000FF"/>
      <w:u w:val="single"/>
    </w:rPr>
  </w:style>
  <w:style w:type="character" w:styleId="AklamaBavurusu">
    <w:name w:val="annotation reference"/>
    <w:basedOn w:val="VarsaylanParagrafYazTipi"/>
    <w:uiPriority w:val="99"/>
    <w:semiHidden/>
    <w:unhideWhenUsed/>
    <w:rsid w:val="00792E8F"/>
    <w:rPr>
      <w:sz w:val="16"/>
      <w:szCs w:val="16"/>
    </w:rPr>
  </w:style>
  <w:style w:type="paragraph" w:styleId="AklamaMetni">
    <w:name w:val="annotation text"/>
    <w:basedOn w:val="Normal"/>
    <w:link w:val="AklamaMetniChar"/>
    <w:uiPriority w:val="99"/>
    <w:unhideWhenUsed/>
    <w:rsid w:val="00792E8F"/>
    <w:pPr>
      <w:spacing w:after="0" w:line="240" w:lineRule="auto"/>
    </w:pPr>
    <w:rPr>
      <w:rFonts w:eastAsiaTheme="minorEastAsia"/>
      <w:sz w:val="20"/>
      <w:szCs w:val="20"/>
      <w:lang w:eastAsia="zh-CN"/>
    </w:rPr>
  </w:style>
  <w:style w:type="character" w:customStyle="1" w:styleId="AklamaMetniChar">
    <w:name w:val="Açıklama Metni Char"/>
    <w:basedOn w:val="VarsaylanParagrafYazTipi"/>
    <w:link w:val="AklamaMetni"/>
    <w:uiPriority w:val="99"/>
    <w:rsid w:val="00792E8F"/>
    <w:rPr>
      <w:rFonts w:eastAsiaTheme="minorEastAsia"/>
      <w:sz w:val="20"/>
      <w:szCs w:val="20"/>
      <w:lang w:eastAsia="zh-CN"/>
    </w:rPr>
  </w:style>
  <w:style w:type="paragraph" w:styleId="BalonMetni">
    <w:name w:val="Balloon Text"/>
    <w:basedOn w:val="Normal"/>
    <w:link w:val="BalonMetniChar"/>
    <w:uiPriority w:val="99"/>
    <w:semiHidden/>
    <w:unhideWhenUsed/>
    <w:rsid w:val="00792E8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92E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ibel.gumus@eforpatent.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851</Words>
  <Characters>4851</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2024-02-13T12:42:00Z</dcterms:created>
  <dcterms:modified xsi:type="dcterms:W3CDTF">2024-02-13T12:42:00Z</dcterms:modified>
</cp:coreProperties>
</file>