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282" w:rsidRPr="00C41282" w:rsidRDefault="00C41282" w:rsidP="00C41282">
      <w:pPr>
        <w:pStyle w:val="GvdeMetni"/>
        <w:kinsoku w:val="0"/>
        <w:overflowPunct w:val="0"/>
        <w:ind w:left="333"/>
        <w:rPr>
          <w:rFonts w:asciiTheme="minorHAnsi" w:hAnsiTheme="minorHAnsi" w:cstheme="minorHAnsi"/>
          <w:sz w:val="20"/>
          <w:szCs w:val="20"/>
          <w:lang w:val="tr-TR"/>
        </w:rPr>
      </w:pPr>
    </w:p>
    <w:p w:rsidR="00C41282" w:rsidRPr="00C41282" w:rsidRDefault="00C41282" w:rsidP="00C41282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C41282" w:rsidRPr="00C41282" w:rsidRDefault="00C41282" w:rsidP="00C41282">
      <w:pPr>
        <w:pStyle w:val="GvdeMetni"/>
        <w:kinsoku w:val="0"/>
        <w:overflowPunct w:val="0"/>
        <w:ind w:right="114"/>
        <w:jc w:val="right"/>
        <w:rPr>
          <w:rFonts w:asciiTheme="minorHAnsi" w:hAnsiTheme="minorHAnsi" w:cstheme="minorHAnsi"/>
          <w:spacing w:val="-2"/>
          <w:lang w:val="tr-TR"/>
        </w:rPr>
      </w:pPr>
      <w:r w:rsidRPr="00C41282">
        <w:rPr>
          <w:rFonts w:asciiTheme="minorHAnsi" w:hAnsiTheme="minorHAnsi" w:cstheme="minorHAnsi"/>
          <w:lang w:val="tr-TR"/>
        </w:rPr>
        <w:t>Elif</w:t>
      </w:r>
      <w:r w:rsidRPr="00C41282">
        <w:rPr>
          <w:rFonts w:asciiTheme="minorHAnsi" w:hAnsiTheme="minorHAnsi" w:cstheme="minorHAnsi"/>
          <w:spacing w:val="46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Arabacıoğlu*</w:t>
      </w:r>
    </w:p>
    <w:p w:rsidR="00C41282" w:rsidRPr="00C41282" w:rsidRDefault="00C41282" w:rsidP="00C41282">
      <w:pPr>
        <w:pStyle w:val="GvdeMetni"/>
        <w:kinsoku w:val="0"/>
        <w:overflowPunct w:val="0"/>
        <w:spacing w:before="190"/>
        <w:ind w:right="114"/>
        <w:jc w:val="right"/>
        <w:rPr>
          <w:rFonts w:asciiTheme="minorHAnsi" w:hAnsiTheme="minorHAnsi" w:cstheme="minorHAnsi"/>
          <w:b/>
          <w:bCs/>
          <w:i/>
          <w:iCs/>
          <w:spacing w:val="-6"/>
          <w:lang w:val="tr-TR"/>
        </w:rPr>
      </w:pPr>
      <w:r w:rsidRPr="00C41282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AIPPI</w:t>
      </w:r>
      <w:r w:rsidRPr="00C41282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C41282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Türkiye</w:t>
      </w:r>
      <w:r w:rsidRPr="00C41282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C41282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/Fikri</w:t>
      </w:r>
      <w:r w:rsidRPr="00C41282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C41282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Mülkiyet</w:t>
      </w:r>
      <w:r w:rsidRPr="00C41282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C41282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Hakları</w:t>
      </w:r>
      <w:r w:rsidRPr="00C41282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C41282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Koruma</w:t>
      </w:r>
      <w:r w:rsidRPr="00C41282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C41282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Derneği</w:t>
      </w:r>
      <w:r w:rsidRPr="00C41282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C41282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Üyesi</w:t>
      </w:r>
    </w:p>
    <w:p w:rsidR="00C41282" w:rsidRPr="00C41282" w:rsidRDefault="00C41282" w:rsidP="00C41282">
      <w:pPr>
        <w:pStyle w:val="GvdeMetni"/>
        <w:kinsoku w:val="0"/>
        <w:overflowPunct w:val="0"/>
        <w:spacing w:before="3"/>
        <w:rPr>
          <w:rFonts w:asciiTheme="minorHAnsi" w:hAnsiTheme="minorHAnsi" w:cstheme="minorHAnsi"/>
          <w:sz w:val="16"/>
          <w:szCs w:val="16"/>
          <w:lang w:val="tr-TR"/>
        </w:rPr>
      </w:pPr>
    </w:p>
    <w:p w:rsidR="00C41282" w:rsidRPr="00C41282" w:rsidRDefault="00C41282" w:rsidP="00C41282">
      <w:pPr>
        <w:pStyle w:val="Balk2"/>
        <w:kinsoku w:val="0"/>
        <w:overflowPunct w:val="0"/>
        <w:spacing w:line="213" w:lineRule="auto"/>
        <w:ind w:right="126"/>
        <w:rPr>
          <w:rFonts w:asciiTheme="minorHAnsi" w:hAnsiTheme="minorHAnsi" w:cstheme="minorHAnsi"/>
          <w:w w:val="90"/>
          <w:lang w:val="tr-TR"/>
        </w:rPr>
      </w:pPr>
      <w:r w:rsidRPr="00C41282">
        <w:rPr>
          <w:rFonts w:asciiTheme="minorHAnsi" w:hAnsiTheme="minorHAnsi" w:cstheme="minorHAnsi"/>
          <w:w w:val="90"/>
          <w:lang w:val="tr-TR"/>
        </w:rPr>
        <w:t xml:space="preserve">AIPPI 2021 Patent Konu Sorusu: Yapay Zekâ Buluşlarında Yaratıcılık ve Açıklamanın Yeterliliği </w:t>
      </w:r>
    </w:p>
    <w:p w:rsidR="00C41282" w:rsidRPr="00C41282" w:rsidRDefault="00C41282" w:rsidP="00C41282">
      <w:pPr>
        <w:pStyle w:val="GvdeMetni"/>
        <w:kinsoku w:val="0"/>
        <w:overflowPunct w:val="0"/>
        <w:spacing w:before="198" w:line="230" w:lineRule="auto"/>
        <w:ind w:left="343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C41282">
        <w:rPr>
          <w:rFonts w:asciiTheme="minorHAnsi" w:hAnsiTheme="minorHAnsi" w:cstheme="minorHAnsi"/>
          <w:w w:val="90"/>
          <w:lang w:val="tr-TR"/>
        </w:rPr>
        <w:t xml:space="preserve">AIPPI 2021 Uluslararası Kongresi, devam eden pandemi süreci nedeniyle bu sene de çevrimiçi olarak </w:t>
      </w:r>
      <w:r w:rsidRPr="00C41282">
        <w:rPr>
          <w:rFonts w:asciiTheme="minorHAnsi" w:hAnsiTheme="minorHAnsi" w:cstheme="minorHAnsi"/>
          <w:spacing w:val="-8"/>
          <w:lang w:val="tr-TR"/>
        </w:rPr>
        <w:t>gerçekleşti.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Bu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yılki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Kongre’de,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özellikle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geçen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sene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edinilen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dijital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kongre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deneyimleri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de</w:t>
      </w:r>
      <w:r w:rsidRPr="00C41282">
        <w:rPr>
          <w:rFonts w:asciiTheme="minorHAnsi" w:hAnsiTheme="minorHAnsi" w:cstheme="minorHAnsi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eklenerek, </w:t>
      </w:r>
      <w:r w:rsidRPr="00C41282">
        <w:rPr>
          <w:rFonts w:asciiTheme="minorHAnsi" w:hAnsiTheme="minorHAnsi" w:cstheme="minorHAnsi"/>
          <w:spacing w:val="-2"/>
          <w:lang w:val="tr-TR"/>
        </w:rPr>
        <w:t>katılımcı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üyelere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interaktif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bir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dijital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kongre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deneyimi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yaşatıldı.</w:t>
      </w:r>
      <w:bookmarkStart w:id="0" w:name="_GoBack"/>
      <w:bookmarkEnd w:id="0"/>
    </w:p>
    <w:p w:rsidR="00C41282" w:rsidRPr="00C41282" w:rsidRDefault="00C41282" w:rsidP="00C41282">
      <w:pPr>
        <w:pStyle w:val="GvdeMetni"/>
        <w:kinsoku w:val="0"/>
        <w:overflowPunct w:val="0"/>
        <w:spacing w:before="203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C41282">
        <w:rPr>
          <w:rFonts w:asciiTheme="minorHAnsi" w:hAnsiTheme="minorHAnsi" w:cstheme="minorHAnsi"/>
          <w:w w:val="90"/>
          <w:lang w:val="tr-TR"/>
        </w:rPr>
        <w:t>2021 yılının patent alanındaki çalışma konusu “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>Yapay Zekâ Buluşlarında Yaratıcılık ve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 xml:space="preserve"> Açıklamanın Ye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terliliği</w:t>
      </w:r>
      <w:r w:rsidRPr="00C41282">
        <w:rPr>
          <w:rFonts w:asciiTheme="minorHAnsi" w:hAnsiTheme="minorHAnsi" w:cstheme="minorHAnsi"/>
          <w:spacing w:val="-4"/>
          <w:lang w:val="tr-TR"/>
        </w:rPr>
        <w:t>”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(“Inventiveness</w:t>
      </w:r>
      <w:r w:rsidRPr="00C4128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and</w:t>
      </w:r>
      <w:r w:rsidRPr="00C4128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sufficiency</w:t>
      </w:r>
      <w:r w:rsidRPr="00C4128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of</w:t>
      </w:r>
      <w:r w:rsidRPr="00C4128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disclosure</w:t>
      </w:r>
      <w:r w:rsidRPr="00C4128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in</w:t>
      </w:r>
      <w:r w:rsidRPr="00C4128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AI</w:t>
      </w:r>
      <w:r w:rsidRPr="00C4128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inventions”)</w:t>
      </w:r>
      <w:r w:rsidRPr="00C4128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olarak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belirlenmişti.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 xml:space="preserve">Çalışma </w:t>
      </w:r>
      <w:r w:rsidRPr="00C41282">
        <w:rPr>
          <w:rFonts w:asciiTheme="minorHAnsi" w:hAnsiTheme="minorHAnsi" w:cstheme="minorHAnsi"/>
          <w:w w:val="90"/>
          <w:lang w:val="tr-TR"/>
        </w:rPr>
        <w:t xml:space="preserve">konusunda, esas olarak, yapay zekâ buluşlarında, özellikle yapay zekânın buluşlarda artan katkısı da </w:t>
      </w:r>
      <w:r w:rsidRPr="00C41282">
        <w:rPr>
          <w:rFonts w:asciiTheme="minorHAnsi" w:hAnsiTheme="minorHAnsi" w:cstheme="minorHAnsi"/>
          <w:spacing w:val="-8"/>
          <w:lang w:val="tr-TR"/>
        </w:rPr>
        <w:t>dikkate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alınarak,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“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teknikte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uzman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kişi</w:t>
      </w:r>
      <w:r w:rsidRPr="00C41282">
        <w:rPr>
          <w:rFonts w:asciiTheme="minorHAnsi" w:hAnsiTheme="minorHAnsi" w:cstheme="minorHAnsi"/>
          <w:spacing w:val="-8"/>
          <w:lang w:val="tr-TR"/>
        </w:rPr>
        <w:t>”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(“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the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person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skilled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in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the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art</w:t>
      </w:r>
      <w:r w:rsidRPr="00C41282">
        <w:rPr>
          <w:rFonts w:asciiTheme="minorHAnsi" w:hAnsiTheme="minorHAnsi" w:cstheme="minorHAnsi"/>
          <w:spacing w:val="-8"/>
          <w:lang w:val="tr-TR"/>
        </w:rPr>
        <w:t>”)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ve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“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yaygın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genel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bilgi</w:t>
      </w:r>
      <w:r w:rsidRPr="00C41282">
        <w:rPr>
          <w:rFonts w:asciiTheme="minorHAnsi" w:hAnsiTheme="minorHAnsi" w:cstheme="minorHAnsi"/>
          <w:spacing w:val="-8"/>
          <w:lang w:val="tr-TR"/>
        </w:rPr>
        <w:t>”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(“</w:t>
      </w:r>
      <w:r w:rsidRPr="00C41282">
        <w:rPr>
          <w:rFonts w:asciiTheme="minorHAnsi" w:hAnsiTheme="minorHAnsi" w:cstheme="minorHAnsi"/>
          <w:i/>
          <w:iCs/>
          <w:spacing w:val="-8"/>
          <w:lang w:val="tr-TR"/>
        </w:rPr>
        <w:t>com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>mon general knowledge</w:t>
      </w:r>
      <w:r w:rsidRPr="00C41282">
        <w:rPr>
          <w:rFonts w:asciiTheme="minorHAnsi" w:hAnsiTheme="minorHAnsi" w:cstheme="minorHAnsi"/>
          <w:w w:val="90"/>
          <w:lang w:val="tr-TR"/>
        </w:rPr>
        <w:t xml:space="preserve">”) tanımları yeniden değerlendirilmiş, bu değerlendirmeler ışığında yapay zekâ </w:t>
      </w:r>
      <w:r w:rsidRPr="00C41282">
        <w:rPr>
          <w:rFonts w:asciiTheme="minorHAnsi" w:hAnsiTheme="minorHAnsi" w:cstheme="minorHAnsi"/>
          <w:spacing w:val="-4"/>
          <w:lang w:val="tr-TR"/>
        </w:rPr>
        <w:t>tarafından</w:t>
      </w:r>
      <w:r w:rsidRPr="00C4128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veya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katkısıyla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gerçekleştirilen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buluşlar</w:t>
      </w:r>
      <w:r w:rsidRPr="00C4128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bakımından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“buluş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basamağı”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ile</w:t>
      </w:r>
      <w:r w:rsidRPr="00C4128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 xml:space="preserve">“açıklamanın </w:t>
      </w:r>
      <w:r w:rsidRPr="00C41282">
        <w:rPr>
          <w:rFonts w:asciiTheme="minorHAnsi" w:hAnsiTheme="minorHAnsi" w:cstheme="minorHAnsi"/>
          <w:lang w:val="tr-TR"/>
        </w:rPr>
        <w:t>yeterliliği”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konularındaki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prensipler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ülkeler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tarafından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yeni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bir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perspektifle</w:t>
      </w:r>
      <w:r w:rsidRPr="00C41282">
        <w:rPr>
          <w:rFonts w:asciiTheme="minorHAnsi" w:hAnsiTheme="minorHAnsi" w:cstheme="minorHAnsi"/>
          <w:spacing w:val="40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tartışılmıştır.</w:t>
      </w:r>
    </w:p>
    <w:p w:rsidR="00C41282" w:rsidRPr="00C41282" w:rsidRDefault="00C41282" w:rsidP="00C41282">
      <w:pPr>
        <w:pStyle w:val="GvdeMetni"/>
        <w:kinsoku w:val="0"/>
        <w:overflowPunct w:val="0"/>
        <w:spacing w:before="208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C41282">
        <w:rPr>
          <w:rFonts w:asciiTheme="minorHAnsi" w:hAnsiTheme="minorHAnsi" w:cstheme="minorHAnsi"/>
          <w:w w:val="90"/>
          <w:lang w:val="tr-TR"/>
        </w:rPr>
        <w:t>Nitekim, bu seneki patent çalışma konusu bir yönüyle 2020 yılının patent çalışma konusu olan “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>Yapay Zekâ kullanılarak yapılan buluşlarda buluşçu kavramı</w:t>
      </w:r>
      <w:r w:rsidRPr="00C41282">
        <w:rPr>
          <w:rFonts w:asciiTheme="minorHAnsi" w:hAnsiTheme="minorHAnsi" w:cstheme="minorHAnsi"/>
          <w:w w:val="90"/>
          <w:lang w:val="tr-TR"/>
        </w:rPr>
        <w:t>” (“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>Inventorship of inventions made using Artificial Intelligence</w:t>
      </w:r>
      <w:r w:rsidRPr="00C41282">
        <w:rPr>
          <w:rFonts w:asciiTheme="minorHAnsi" w:hAnsiTheme="minorHAnsi" w:cstheme="minorHAnsi"/>
          <w:w w:val="90"/>
          <w:lang w:val="tr-TR"/>
        </w:rPr>
        <w:t>”) çalışmalarının da devamı niteliğindedir ve yapay zekâ tar</w:t>
      </w:r>
      <w:r w:rsidRPr="00C41282">
        <w:rPr>
          <w:rFonts w:asciiTheme="minorHAnsi" w:hAnsiTheme="minorHAnsi" w:cstheme="minorHAnsi"/>
          <w:w w:val="90"/>
          <w:lang w:val="tr-TR"/>
        </w:rPr>
        <w:t>afından veya katkısıyla gerçek</w:t>
      </w:r>
      <w:r w:rsidRPr="00C41282">
        <w:rPr>
          <w:rFonts w:asciiTheme="minorHAnsi" w:hAnsiTheme="minorHAnsi" w:cstheme="minorHAnsi"/>
          <w:lang w:val="tr-TR"/>
        </w:rPr>
        <w:t>leşen</w:t>
      </w:r>
      <w:r w:rsidRPr="00C4128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buluşların</w:t>
      </w:r>
      <w:r w:rsidRPr="00C4128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patentlenebilirliği</w:t>
      </w:r>
      <w:r w:rsidRPr="00C4128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sorunsalına</w:t>
      </w:r>
      <w:r w:rsidRPr="00C4128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bütünsel</w:t>
      </w:r>
      <w:r w:rsidRPr="00C4128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bir</w:t>
      </w:r>
      <w:r w:rsidRPr="00C4128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bakış</w:t>
      </w:r>
      <w:r w:rsidRPr="00C4128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imkânı</w:t>
      </w:r>
      <w:r w:rsidRPr="00C4128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sunmaktadır.</w:t>
      </w:r>
    </w:p>
    <w:p w:rsidR="00C41282" w:rsidRPr="00C41282" w:rsidRDefault="00C41282" w:rsidP="00C41282">
      <w:pPr>
        <w:pStyle w:val="GvdeMetni"/>
        <w:kinsoku w:val="0"/>
        <w:overflowPunct w:val="0"/>
        <w:spacing w:before="204" w:line="230" w:lineRule="auto"/>
        <w:ind w:left="343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C41282">
        <w:rPr>
          <w:rFonts w:asciiTheme="minorHAnsi" w:hAnsiTheme="minorHAnsi" w:cstheme="minorHAnsi"/>
          <w:spacing w:val="-4"/>
          <w:lang w:val="tr-TR"/>
        </w:rPr>
        <w:t xml:space="preserve">Çalışma sürecinde; AIPPI ulusal ve bölgesel gruplar ile bağımsız </w:t>
      </w:r>
      <w:r w:rsidRPr="00C41282">
        <w:rPr>
          <w:rFonts w:asciiTheme="minorHAnsi" w:hAnsiTheme="minorHAnsi" w:cstheme="minorHAnsi"/>
          <w:spacing w:val="-4"/>
          <w:lang w:val="tr-TR"/>
        </w:rPr>
        <w:t>üyelerden toplamda 37 rapor su</w:t>
      </w:r>
      <w:r w:rsidRPr="00C41282">
        <w:rPr>
          <w:rFonts w:asciiTheme="minorHAnsi" w:hAnsiTheme="minorHAnsi" w:cstheme="minorHAnsi"/>
          <w:spacing w:val="-4"/>
          <w:lang w:val="tr-TR"/>
        </w:rPr>
        <w:t>nulmuştur.</w:t>
      </w:r>
      <w:r w:rsidRPr="00C4128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Bu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raporlar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üzerinden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AIPPI</w:t>
      </w:r>
      <w:r w:rsidRPr="00C4128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Genel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Raportör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Ekibi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tarafından</w:t>
      </w:r>
      <w:r w:rsidRPr="00C4128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yapılan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değerlendirme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ne</w:t>
      </w:r>
      <w:r w:rsidRPr="00C41282">
        <w:rPr>
          <w:rFonts w:asciiTheme="minorHAnsi" w:hAnsiTheme="minorHAnsi" w:cstheme="minorHAnsi"/>
          <w:spacing w:val="-4"/>
          <w:lang w:val="tr-TR"/>
        </w:rPr>
        <w:t>ticesinde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bir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özet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rapor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hazırlanmıştır.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AIPPI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Dünya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Kongresi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Çalışma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Komitesi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(“Çalışma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 xml:space="preserve">Komitesi”) </w:t>
      </w:r>
      <w:r w:rsidRPr="00C41282">
        <w:rPr>
          <w:rFonts w:asciiTheme="minorHAnsi" w:hAnsiTheme="minorHAnsi" w:cstheme="minorHAnsi"/>
          <w:w w:val="90"/>
          <w:lang w:val="tr-TR"/>
        </w:rPr>
        <w:t>bünyesinde yapılan çalışmalar ile genel oturum (“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>plenary session</w:t>
      </w:r>
      <w:r w:rsidRPr="00C41282">
        <w:rPr>
          <w:rFonts w:asciiTheme="minorHAnsi" w:hAnsiTheme="minorHAnsi" w:cstheme="minorHAnsi"/>
          <w:w w:val="90"/>
          <w:lang w:val="tr-TR"/>
        </w:rPr>
        <w:t>”) s</w:t>
      </w:r>
      <w:r w:rsidRPr="00C41282">
        <w:rPr>
          <w:rFonts w:asciiTheme="minorHAnsi" w:hAnsiTheme="minorHAnsi" w:cstheme="minorHAnsi"/>
          <w:w w:val="90"/>
          <w:lang w:val="tr-TR"/>
        </w:rPr>
        <w:t>onrasında yapılan oylamalar so</w:t>
      </w:r>
      <w:r w:rsidRPr="00C41282">
        <w:rPr>
          <w:rFonts w:asciiTheme="minorHAnsi" w:hAnsiTheme="minorHAnsi" w:cstheme="minorHAnsi"/>
          <w:spacing w:val="-6"/>
          <w:lang w:val="tr-TR"/>
        </w:rPr>
        <w:t>nucunda,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rapor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nihai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hale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getirilmiş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ve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AIPPI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Yürütme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Komitesi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tarafından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çevrimiçi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yapılan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oylama </w:t>
      </w:r>
      <w:r w:rsidRPr="00C41282">
        <w:rPr>
          <w:rFonts w:asciiTheme="minorHAnsi" w:hAnsiTheme="minorHAnsi" w:cstheme="minorHAnsi"/>
          <w:spacing w:val="-2"/>
          <w:lang w:val="tr-TR"/>
        </w:rPr>
        <w:t>neticesinde,</w:t>
      </w:r>
      <w:r w:rsidRPr="00C4128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2021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patent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çalışma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konusuna</w:t>
      </w:r>
      <w:r w:rsidRPr="00C4128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ilişkin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Karar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(“Resolution”)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olarak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kabul</w:t>
      </w:r>
      <w:r w:rsidRPr="00C4128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edilmiştir.</w:t>
      </w:r>
    </w:p>
    <w:p w:rsidR="00C41282" w:rsidRPr="00C41282" w:rsidRDefault="00C41282" w:rsidP="00C41282">
      <w:pPr>
        <w:pStyle w:val="GvdeMetni"/>
        <w:kinsoku w:val="0"/>
        <w:overflowPunct w:val="0"/>
        <w:spacing w:before="206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C41282">
        <w:rPr>
          <w:rFonts w:asciiTheme="minorHAnsi" w:hAnsiTheme="minorHAnsi" w:cstheme="minorHAnsi"/>
          <w:w w:val="90"/>
          <w:lang w:val="tr-TR"/>
        </w:rPr>
        <w:t xml:space="preserve">Ülkeler tarafından cevaplanan 2021 yılı patent çalışma kılavuzunda tartışılan başlıca hususlardan biri </w:t>
      </w:r>
      <w:r w:rsidRPr="00C41282">
        <w:rPr>
          <w:rFonts w:asciiTheme="minorHAnsi" w:hAnsiTheme="minorHAnsi" w:cstheme="minorHAnsi"/>
          <w:spacing w:val="-8"/>
          <w:lang w:val="tr-TR"/>
        </w:rPr>
        <w:t>yapay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zekânın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farklı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girdilerden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öğrenebilme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ve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teknik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çözümler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çıkarma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potansiyeli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de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değerlendi</w:t>
      </w:r>
      <w:r w:rsidRPr="00C41282">
        <w:rPr>
          <w:rFonts w:asciiTheme="minorHAnsi" w:hAnsiTheme="minorHAnsi" w:cstheme="minorHAnsi"/>
          <w:w w:val="90"/>
          <w:lang w:val="tr-TR"/>
        </w:rPr>
        <w:t xml:space="preserve">rilerek, yapay zekânın yaratıcı bir faaliyet gerçekleştirdiği buluşlar bakımından, “buluş basamağı” ve </w:t>
      </w:r>
      <w:r w:rsidRPr="00C41282">
        <w:rPr>
          <w:rFonts w:asciiTheme="minorHAnsi" w:hAnsiTheme="minorHAnsi" w:cstheme="minorHAnsi"/>
          <w:spacing w:val="-4"/>
          <w:lang w:val="tr-TR"/>
        </w:rPr>
        <w:t>“açıklamanın</w:t>
      </w:r>
      <w:r w:rsidRPr="00C4128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yeterliliği”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değerlendirmelerinde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temel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alınan</w:t>
      </w:r>
      <w:r w:rsidRPr="00C4128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standartlarda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bir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farklılığa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 xml:space="preserve">gidilmesinin </w:t>
      </w:r>
      <w:r w:rsidRPr="00C41282">
        <w:rPr>
          <w:rFonts w:asciiTheme="minorHAnsi" w:hAnsiTheme="minorHAnsi" w:cstheme="minorHAnsi"/>
          <w:lang w:val="tr-TR"/>
        </w:rPr>
        <w:t>gerekli olup</w:t>
      </w:r>
      <w:r w:rsidRPr="00C4128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C41282">
        <w:rPr>
          <w:rFonts w:asciiTheme="minorHAnsi" w:hAnsiTheme="minorHAnsi" w:cstheme="minorHAnsi"/>
          <w:lang w:val="tr-TR"/>
        </w:rPr>
        <w:t>olmadığı idi.</w:t>
      </w:r>
    </w:p>
    <w:p w:rsidR="00C41282" w:rsidRPr="00C41282" w:rsidRDefault="00C41282" w:rsidP="00C41282">
      <w:pPr>
        <w:pStyle w:val="GvdeMetni"/>
        <w:kinsoku w:val="0"/>
        <w:overflowPunct w:val="0"/>
        <w:spacing w:before="197"/>
        <w:ind w:left="343"/>
        <w:jc w:val="both"/>
        <w:rPr>
          <w:rFonts w:asciiTheme="minorHAnsi" w:hAnsiTheme="minorHAnsi" w:cstheme="minorHAnsi"/>
          <w:spacing w:val="-6"/>
          <w:lang w:val="tr-TR"/>
        </w:rPr>
      </w:pPr>
      <w:r w:rsidRPr="00C41282">
        <w:rPr>
          <w:rFonts w:asciiTheme="minorHAnsi" w:hAnsiTheme="minorHAnsi" w:cstheme="minorHAnsi"/>
          <w:spacing w:val="-6"/>
          <w:lang w:val="tr-TR"/>
        </w:rPr>
        <w:t>AIPPI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2021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patent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çalışma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konusunda,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özetle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şu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kararlar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alınmıştır;</w:t>
      </w:r>
    </w:p>
    <w:p w:rsidR="00C41282" w:rsidRPr="00C41282" w:rsidRDefault="00C41282" w:rsidP="00C41282">
      <w:pPr>
        <w:pStyle w:val="GvdeMetni"/>
        <w:kinsoku w:val="0"/>
        <w:overflowPunct w:val="0"/>
        <w:spacing w:before="207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C41282">
        <w:rPr>
          <w:rFonts w:asciiTheme="minorHAnsi" w:hAnsiTheme="minorHAnsi" w:cstheme="minorHAnsi"/>
          <w:spacing w:val="-6"/>
          <w:lang w:val="tr-TR"/>
        </w:rPr>
        <w:t>Kararda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öncelikle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“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teknikte</w:t>
      </w:r>
      <w:r w:rsidRPr="00C4128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uzman</w:t>
      </w:r>
      <w:r w:rsidRPr="00C4128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kişi</w:t>
      </w:r>
      <w:r w:rsidRPr="00C41282">
        <w:rPr>
          <w:rFonts w:asciiTheme="minorHAnsi" w:hAnsiTheme="minorHAnsi" w:cstheme="minorHAnsi"/>
          <w:spacing w:val="-6"/>
          <w:lang w:val="tr-TR"/>
        </w:rPr>
        <w:t>”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(“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the</w:t>
      </w:r>
      <w:r w:rsidRPr="00C4128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person</w:t>
      </w:r>
      <w:r w:rsidRPr="00C4128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skilled</w:t>
      </w:r>
      <w:r w:rsidRPr="00C4128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in</w:t>
      </w:r>
      <w:r w:rsidRPr="00C4128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the</w:t>
      </w:r>
      <w:r w:rsidRPr="00C4128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art</w:t>
      </w:r>
      <w:r w:rsidRPr="00C41282">
        <w:rPr>
          <w:rFonts w:asciiTheme="minorHAnsi" w:hAnsiTheme="minorHAnsi" w:cstheme="minorHAnsi"/>
          <w:spacing w:val="-6"/>
          <w:lang w:val="tr-TR"/>
        </w:rPr>
        <w:t>”)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tanımı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irdelenmiştir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ve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böyle</w:t>
      </w:r>
      <w:r w:rsidRPr="00C41282">
        <w:rPr>
          <w:rFonts w:asciiTheme="minorHAnsi" w:hAnsiTheme="minorHAnsi" w:cstheme="minorHAnsi"/>
          <w:spacing w:val="-4"/>
          <w:lang w:val="tr-TR"/>
        </w:rPr>
        <w:t>likle,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yapay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zekâ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tarafından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veya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katkısıyla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gerçekleştirilen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buluşlar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ile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yapay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zekâ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w w:val="85"/>
          <w:lang w:val="tr-TR"/>
        </w:rPr>
        <w:t>teknolojisi</w:t>
      </w:r>
      <w:r w:rsidRPr="00C4128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kulla</w:t>
      </w:r>
      <w:r w:rsidRPr="00C41282">
        <w:rPr>
          <w:rFonts w:asciiTheme="minorHAnsi" w:hAnsiTheme="minorHAnsi" w:cstheme="minorHAnsi"/>
          <w:spacing w:val="-6"/>
          <w:lang w:val="tr-TR"/>
        </w:rPr>
        <w:t>nılmadan gerçekleştirilen buluşlar bakımından “</w:t>
      </w:r>
      <w:r w:rsidRPr="00C41282">
        <w:rPr>
          <w:rFonts w:asciiTheme="minorHAnsi" w:hAnsiTheme="minorHAnsi" w:cstheme="minorHAnsi"/>
          <w:i/>
          <w:iCs/>
          <w:spacing w:val="-6"/>
          <w:lang w:val="tr-TR"/>
        </w:rPr>
        <w:t>teknikte uzman kişi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” tanımının aynı olması gerektiği </w:t>
      </w:r>
      <w:r w:rsidRPr="00C41282">
        <w:rPr>
          <w:rFonts w:asciiTheme="minorHAnsi" w:hAnsiTheme="minorHAnsi" w:cstheme="minorHAnsi"/>
          <w:spacing w:val="-4"/>
          <w:lang w:val="tr-TR"/>
        </w:rPr>
        <w:t>sonucuna varılmıştır. Bu kapsamda, “</w:t>
      </w:r>
      <w:r w:rsidRPr="00C41282">
        <w:rPr>
          <w:rFonts w:asciiTheme="minorHAnsi" w:hAnsiTheme="minorHAnsi" w:cstheme="minorHAnsi"/>
          <w:i/>
          <w:iCs/>
          <w:spacing w:val="-4"/>
          <w:lang w:val="tr-TR"/>
        </w:rPr>
        <w:t>teknikte uzman kişi</w:t>
      </w:r>
      <w:r w:rsidRPr="00C41282">
        <w:rPr>
          <w:rFonts w:asciiTheme="minorHAnsi" w:hAnsiTheme="minorHAnsi" w:cstheme="minorHAnsi"/>
          <w:spacing w:val="-4"/>
          <w:lang w:val="tr-TR"/>
        </w:rPr>
        <w:t xml:space="preserve">”nin yapay zekâ teknolojisini, buluşun ilgili </w:t>
      </w:r>
      <w:r w:rsidRPr="00C41282">
        <w:rPr>
          <w:rFonts w:asciiTheme="minorHAnsi" w:hAnsiTheme="minorHAnsi" w:cstheme="minorHAnsi"/>
          <w:w w:val="90"/>
          <w:lang w:val="tr-TR"/>
        </w:rPr>
        <w:t xml:space="preserve">olduğu alanda ve belirlenen tarihte ortalama bir kişiden beklendiği durumda kullanması gerektiği de </w:t>
      </w:r>
      <w:r w:rsidRPr="00C41282">
        <w:rPr>
          <w:rFonts w:asciiTheme="minorHAnsi" w:hAnsiTheme="minorHAnsi" w:cstheme="minorHAnsi"/>
          <w:lang w:val="tr-TR"/>
        </w:rPr>
        <w:t>Karar’a eklenmiştir.</w:t>
      </w:r>
    </w:p>
    <w:p w:rsidR="00C41282" w:rsidRPr="00C41282" w:rsidRDefault="00C41282" w:rsidP="00C41282">
      <w:pPr>
        <w:pStyle w:val="GvdeMetni"/>
        <w:kinsoku w:val="0"/>
        <w:overflowPunct w:val="0"/>
        <w:spacing w:before="207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C41282">
        <w:rPr>
          <w:rFonts w:asciiTheme="minorHAnsi" w:hAnsiTheme="minorHAnsi" w:cstheme="minorHAnsi"/>
          <w:w w:val="85"/>
          <w:lang w:val="tr-TR"/>
        </w:rPr>
        <w:t>Benzer şekilde, “</w:t>
      </w:r>
      <w:r w:rsidRPr="00C41282">
        <w:rPr>
          <w:rFonts w:asciiTheme="minorHAnsi" w:hAnsiTheme="minorHAnsi" w:cstheme="minorHAnsi"/>
          <w:i/>
          <w:iCs/>
          <w:w w:val="85"/>
          <w:lang w:val="tr-TR"/>
        </w:rPr>
        <w:t>yaygın genel bilgi</w:t>
      </w:r>
      <w:r w:rsidRPr="00C41282">
        <w:rPr>
          <w:rFonts w:asciiTheme="minorHAnsi" w:hAnsiTheme="minorHAnsi" w:cstheme="minorHAnsi"/>
          <w:w w:val="85"/>
          <w:lang w:val="tr-TR"/>
        </w:rPr>
        <w:t>” (“</w:t>
      </w:r>
      <w:r w:rsidRPr="00C41282">
        <w:rPr>
          <w:rFonts w:asciiTheme="minorHAnsi" w:hAnsiTheme="minorHAnsi" w:cstheme="minorHAnsi"/>
          <w:i/>
          <w:iCs/>
          <w:w w:val="85"/>
          <w:lang w:val="tr-TR"/>
        </w:rPr>
        <w:t>common general knowledge</w:t>
      </w:r>
      <w:r w:rsidRPr="00C41282">
        <w:rPr>
          <w:rFonts w:asciiTheme="minorHAnsi" w:hAnsiTheme="minorHAnsi" w:cstheme="minorHAnsi"/>
          <w:w w:val="85"/>
          <w:lang w:val="tr-TR"/>
        </w:rPr>
        <w:t>”) açısından da “</w:t>
      </w:r>
      <w:r w:rsidRPr="00C41282">
        <w:rPr>
          <w:rFonts w:asciiTheme="minorHAnsi" w:hAnsiTheme="minorHAnsi" w:cstheme="minorHAnsi"/>
          <w:i/>
          <w:iCs/>
          <w:w w:val="85"/>
          <w:lang w:val="tr-TR"/>
        </w:rPr>
        <w:t>yaygın genel bilgi</w:t>
      </w:r>
      <w:r w:rsidRPr="00C41282">
        <w:rPr>
          <w:rFonts w:asciiTheme="minorHAnsi" w:hAnsiTheme="minorHAnsi" w:cstheme="minorHAnsi"/>
          <w:w w:val="85"/>
          <w:lang w:val="tr-TR"/>
        </w:rPr>
        <w:t>” ta</w:t>
      </w:r>
      <w:r w:rsidRPr="00C41282">
        <w:rPr>
          <w:rFonts w:asciiTheme="minorHAnsi" w:hAnsiTheme="minorHAnsi" w:cstheme="minorHAnsi"/>
          <w:w w:val="90"/>
          <w:lang w:val="tr-TR"/>
        </w:rPr>
        <w:t>nımının yapay zekâ tarafından veya katkısıyla gerçekleştirilen buluşlar il</w:t>
      </w:r>
      <w:r w:rsidRPr="00C41282">
        <w:rPr>
          <w:rFonts w:asciiTheme="minorHAnsi" w:hAnsiTheme="minorHAnsi" w:cstheme="minorHAnsi"/>
          <w:w w:val="90"/>
          <w:lang w:val="tr-TR"/>
        </w:rPr>
        <w:t>e yapay zekâ teknolojisi kulla</w:t>
      </w:r>
      <w:r w:rsidRPr="00C41282">
        <w:rPr>
          <w:rFonts w:asciiTheme="minorHAnsi" w:hAnsiTheme="minorHAnsi" w:cstheme="minorHAnsi"/>
          <w:spacing w:val="-4"/>
          <w:lang w:val="tr-TR"/>
        </w:rPr>
        <w:t>nılmadan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gerçekleştirilen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buluşlar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açısından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bir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farklılık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göstermemesi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gerektiğine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karar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verilmiştir.</w:t>
      </w:r>
    </w:p>
    <w:p w:rsidR="00C41282" w:rsidRPr="00C41282" w:rsidRDefault="00C41282" w:rsidP="00C41282">
      <w:pPr>
        <w:pStyle w:val="GvdeMetni"/>
        <w:kinsoku w:val="0"/>
        <w:overflowPunct w:val="0"/>
        <w:spacing w:before="203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C41282">
        <w:rPr>
          <w:rFonts w:asciiTheme="minorHAnsi" w:hAnsiTheme="minorHAnsi" w:cstheme="minorHAnsi"/>
          <w:w w:val="90"/>
          <w:lang w:val="tr-TR"/>
        </w:rPr>
        <w:t>Öte</w:t>
      </w:r>
      <w:r w:rsidRPr="00C41282">
        <w:rPr>
          <w:rFonts w:asciiTheme="minorHAnsi" w:hAnsiTheme="minorHAnsi" w:cstheme="minorHAnsi"/>
          <w:spacing w:val="-10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w w:val="90"/>
          <w:lang w:val="tr-TR"/>
        </w:rPr>
        <w:t>yandan,</w:t>
      </w:r>
      <w:r w:rsidRPr="00C41282">
        <w:rPr>
          <w:rFonts w:asciiTheme="minorHAnsi" w:hAnsiTheme="minorHAnsi" w:cstheme="minorHAnsi"/>
          <w:spacing w:val="-9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w w:val="90"/>
          <w:lang w:val="tr-TR"/>
        </w:rPr>
        <w:t>Karar’da</w:t>
      </w:r>
      <w:r w:rsidRPr="00C41282">
        <w:rPr>
          <w:rFonts w:asciiTheme="minorHAnsi" w:hAnsiTheme="minorHAnsi" w:cstheme="minorHAnsi"/>
          <w:spacing w:val="-9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w w:val="90"/>
          <w:lang w:val="tr-TR"/>
        </w:rPr>
        <w:t>yapay</w:t>
      </w:r>
      <w:r w:rsidRPr="00C41282">
        <w:rPr>
          <w:rFonts w:asciiTheme="minorHAnsi" w:hAnsiTheme="minorHAnsi" w:cstheme="minorHAnsi"/>
          <w:spacing w:val="-9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w w:val="90"/>
          <w:lang w:val="tr-TR"/>
        </w:rPr>
        <w:t>zekâ</w:t>
      </w:r>
      <w:r w:rsidRPr="00C41282">
        <w:rPr>
          <w:rFonts w:asciiTheme="minorHAnsi" w:hAnsiTheme="minorHAnsi" w:cstheme="minorHAnsi"/>
          <w:spacing w:val="-9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w w:val="90"/>
          <w:lang w:val="tr-TR"/>
        </w:rPr>
        <w:t>buluşlarında</w:t>
      </w:r>
      <w:r w:rsidRPr="00C41282">
        <w:rPr>
          <w:rFonts w:asciiTheme="minorHAnsi" w:hAnsiTheme="minorHAnsi" w:cstheme="minorHAnsi"/>
          <w:spacing w:val="-9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w w:val="90"/>
          <w:lang w:val="tr-TR"/>
        </w:rPr>
        <w:t>“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>yaratıcılık</w:t>
      </w:r>
      <w:r w:rsidRPr="00C41282">
        <w:rPr>
          <w:rFonts w:asciiTheme="minorHAnsi" w:hAnsiTheme="minorHAnsi" w:cstheme="minorHAnsi"/>
          <w:w w:val="90"/>
          <w:lang w:val="tr-TR"/>
        </w:rPr>
        <w:t>”</w:t>
      </w:r>
      <w:r w:rsidRPr="00C41282">
        <w:rPr>
          <w:rFonts w:asciiTheme="minorHAnsi" w:hAnsiTheme="minorHAnsi" w:cstheme="minorHAnsi"/>
          <w:spacing w:val="-9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w w:val="90"/>
          <w:lang w:val="tr-TR"/>
        </w:rPr>
        <w:t>(“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>inventiveness</w:t>
      </w:r>
      <w:r w:rsidRPr="00C41282">
        <w:rPr>
          <w:rFonts w:asciiTheme="minorHAnsi" w:hAnsiTheme="minorHAnsi" w:cstheme="minorHAnsi"/>
          <w:w w:val="90"/>
          <w:lang w:val="tr-TR"/>
        </w:rPr>
        <w:t>”)</w:t>
      </w:r>
      <w:r w:rsidRPr="00C41282">
        <w:rPr>
          <w:rFonts w:asciiTheme="minorHAnsi" w:hAnsiTheme="minorHAnsi" w:cstheme="minorHAnsi"/>
          <w:spacing w:val="-10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w w:val="90"/>
          <w:lang w:val="tr-TR"/>
        </w:rPr>
        <w:t>ve</w:t>
      </w:r>
      <w:r w:rsidRPr="00C41282">
        <w:rPr>
          <w:rFonts w:asciiTheme="minorHAnsi" w:hAnsiTheme="minorHAnsi" w:cstheme="minorHAnsi"/>
          <w:spacing w:val="-9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w w:val="90"/>
          <w:lang w:val="tr-TR"/>
        </w:rPr>
        <w:t>“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>açıklamanın</w:t>
      </w:r>
      <w:r w:rsidRPr="00C41282">
        <w:rPr>
          <w:rFonts w:asciiTheme="minorHAnsi" w:hAnsiTheme="minorHAnsi" w:cstheme="minorHAnsi"/>
          <w:i/>
          <w:iCs/>
          <w:spacing w:val="-9"/>
          <w:w w:val="90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w w:val="90"/>
          <w:lang w:val="tr-TR"/>
        </w:rPr>
        <w:t>yeterliliği</w:t>
      </w:r>
      <w:r w:rsidRPr="00C41282">
        <w:rPr>
          <w:rFonts w:asciiTheme="minorHAnsi" w:hAnsiTheme="minorHAnsi" w:cstheme="minorHAnsi"/>
          <w:w w:val="90"/>
          <w:lang w:val="tr-TR"/>
        </w:rPr>
        <w:t xml:space="preserve">” </w:t>
      </w:r>
      <w:r w:rsidRPr="00C41282">
        <w:rPr>
          <w:rFonts w:asciiTheme="minorHAnsi" w:hAnsiTheme="minorHAnsi" w:cstheme="minorHAnsi"/>
          <w:spacing w:val="-2"/>
          <w:lang w:val="tr-TR"/>
        </w:rPr>
        <w:t>(“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>sufficiency</w:t>
      </w:r>
      <w:r w:rsidRPr="00C4128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>of</w:t>
      </w:r>
      <w:r w:rsidRPr="00C4128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i/>
          <w:iCs/>
          <w:spacing w:val="-2"/>
          <w:lang w:val="tr-TR"/>
        </w:rPr>
        <w:t>disclosure</w:t>
      </w:r>
      <w:r w:rsidRPr="00C41282">
        <w:rPr>
          <w:rFonts w:asciiTheme="minorHAnsi" w:hAnsiTheme="minorHAnsi" w:cstheme="minorHAnsi"/>
          <w:spacing w:val="-2"/>
          <w:lang w:val="tr-TR"/>
        </w:rPr>
        <w:t>”)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hususlarına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ilişkin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ise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yasaların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uyumlaştırılması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gereği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öngörülmüş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ve </w:t>
      </w:r>
      <w:r w:rsidRPr="00C41282">
        <w:rPr>
          <w:rFonts w:asciiTheme="minorHAnsi" w:hAnsiTheme="minorHAnsi" w:cstheme="minorHAnsi"/>
          <w:spacing w:val="-6"/>
          <w:lang w:val="tr-TR"/>
        </w:rPr>
        <w:t>yine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bu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hususlardaki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değerlendirmelerde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de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kanunların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yapay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zekâ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tarafından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veya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katkısıyla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ger</w:t>
      </w:r>
      <w:r w:rsidRPr="00C41282">
        <w:rPr>
          <w:rFonts w:asciiTheme="minorHAnsi" w:hAnsiTheme="minorHAnsi" w:cstheme="minorHAnsi"/>
          <w:spacing w:val="-4"/>
          <w:lang w:val="tr-TR"/>
        </w:rPr>
        <w:t>çekleştirilen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buluşlar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ile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yapay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zekâ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teknolojisi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kullanılmadan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gerçekleştirilen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buluşlar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açısından</w:t>
      </w:r>
      <w:r w:rsidRPr="00C4128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 xml:space="preserve">bir </w:t>
      </w:r>
      <w:r w:rsidRPr="00C41282">
        <w:rPr>
          <w:rFonts w:asciiTheme="minorHAnsi" w:hAnsiTheme="minorHAnsi" w:cstheme="minorHAnsi"/>
          <w:lang w:val="tr-TR"/>
        </w:rPr>
        <w:t>farklılık yaratmaması gerektiği yönünde görüş bildirilmiştir.</w:t>
      </w:r>
    </w:p>
    <w:p w:rsidR="00C41282" w:rsidRPr="00C41282" w:rsidRDefault="00C41282" w:rsidP="00C41282">
      <w:pPr>
        <w:pStyle w:val="GvdeMetni"/>
        <w:kinsoku w:val="0"/>
        <w:overflowPunct w:val="0"/>
        <w:spacing w:before="206"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C41282">
        <w:rPr>
          <w:rFonts w:asciiTheme="minorHAnsi" w:hAnsiTheme="minorHAnsi" w:cstheme="minorHAnsi"/>
          <w:spacing w:val="-8"/>
          <w:lang w:val="tr-TR"/>
        </w:rPr>
        <w:lastRenderedPageBreak/>
        <w:t>Son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olarak,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Karar’da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patent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ofisi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nezdinde,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mesela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bir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patent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başvurusunu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>değerlendirirken</w:t>
      </w:r>
      <w:r w:rsidRPr="00C4128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tekniğin </w:t>
      </w:r>
      <w:r w:rsidRPr="00C41282">
        <w:rPr>
          <w:rFonts w:asciiTheme="minorHAnsi" w:hAnsiTheme="minorHAnsi" w:cstheme="minorHAnsi"/>
          <w:spacing w:val="-6"/>
          <w:lang w:val="tr-TR"/>
        </w:rPr>
        <w:t>bilinen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durumunu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araştırmak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üzere,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inceleme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uzmanı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tarafından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yapay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zekâ</w:t>
      </w:r>
      <w:r w:rsidRPr="00C4128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>teknolojisinin</w:t>
      </w:r>
      <w:r w:rsidRPr="00C4128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kullanıla- </w:t>
      </w:r>
      <w:r w:rsidRPr="00C41282">
        <w:rPr>
          <w:rFonts w:asciiTheme="minorHAnsi" w:hAnsiTheme="minorHAnsi" w:cstheme="minorHAnsi"/>
          <w:w w:val="90"/>
          <w:lang w:val="tr-TR"/>
        </w:rPr>
        <w:t>bileceği konusuna yer verilmiştir. Öte yandan, patent ofislerinin incel</w:t>
      </w:r>
      <w:r>
        <w:rPr>
          <w:rFonts w:asciiTheme="minorHAnsi" w:hAnsiTheme="minorHAnsi" w:cstheme="minorHAnsi"/>
          <w:w w:val="90"/>
          <w:lang w:val="tr-TR"/>
        </w:rPr>
        <w:t>eme sırasında yapay zekâ tekno</w:t>
      </w:r>
      <w:r w:rsidRPr="00C41282">
        <w:rPr>
          <w:rFonts w:asciiTheme="minorHAnsi" w:hAnsiTheme="minorHAnsi" w:cstheme="minorHAnsi"/>
          <w:spacing w:val="-6"/>
          <w:lang w:val="tr-TR"/>
        </w:rPr>
        <w:t xml:space="preserve">lojisini kullanarak bir buluşu yeniden yapmaya çalışamaması gerektiği konusu da Çalışma Komitesi </w:t>
      </w:r>
      <w:r w:rsidRPr="00C41282">
        <w:rPr>
          <w:rFonts w:asciiTheme="minorHAnsi" w:hAnsiTheme="minorHAnsi" w:cstheme="minorHAnsi"/>
          <w:spacing w:val="-2"/>
          <w:lang w:val="tr-TR"/>
        </w:rPr>
        <w:t>nezdinde</w:t>
      </w:r>
      <w:r w:rsidRPr="00C4128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yapılan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tartışmalar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sırasında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oy</w:t>
      </w:r>
      <w:r w:rsidRPr="00C4128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çokluğu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ile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kabul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edilen</w:t>
      </w:r>
      <w:r w:rsidRPr="00C4128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bir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diğer</w:t>
      </w:r>
      <w:r w:rsidRPr="00C4128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2"/>
          <w:lang w:val="tr-TR"/>
        </w:rPr>
        <w:t>husustur.</w:t>
      </w:r>
    </w:p>
    <w:p w:rsidR="00C41282" w:rsidRPr="00C41282" w:rsidRDefault="00C41282" w:rsidP="00C41282">
      <w:pPr>
        <w:pStyle w:val="GvdeMetni"/>
        <w:kinsoku w:val="0"/>
        <w:overflowPunct w:val="0"/>
        <w:spacing w:before="205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C41282">
        <w:rPr>
          <w:rFonts w:asciiTheme="minorHAnsi" w:hAnsiTheme="minorHAnsi" w:cstheme="minorHAnsi"/>
          <w:b/>
          <w:bCs/>
          <w:spacing w:val="-4"/>
          <w:lang w:val="tr-TR"/>
        </w:rPr>
        <w:t>Kaynak:</w:t>
      </w:r>
      <w:r w:rsidRPr="00C41282">
        <w:rPr>
          <w:rFonts w:asciiTheme="minorHAnsi" w:hAnsiTheme="minorHAnsi" w:cstheme="minorHAnsi"/>
          <w:b/>
          <w:bCs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Uluslararası Fikri Mülkiyet Hakları Koruma Derneği (AIPPI- International Association for the Protection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of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Intellectual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Property).</w:t>
      </w:r>
      <w:r w:rsidRPr="00C4128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“Resolution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2021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–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Study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Question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–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Patent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>Inventiveness</w:t>
      </w:r>
      <w:r w:rsidRPr="00C4128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C41282">
        <w:rPr>
          <w:rFonts w:asciiTheme="minorHAnsi" w:hAnsiTheme="minorHAnsi" w:cstheme="minorHAnsi"/>
          <w:spacing w:val="-4"/>
          <w:lang w:val="tr-TR"/>
        </w:rPr>
        <w:t xml:space="preserve">and </w:t>
      </w:r>
      <w:r w:rsidRPr="00C41282">
        <w:rPr>
          <w:rFonts w:asciiTheme="minorHAnsi" w:hAnsiTheme="minorHAnsi" w:cstheme="minorHAnsi"/>
          <w:w w:val="90"/>
          <w:lang w:val="tr-TR"/>
        </w:rPr>
        <w:t xml:space="preserve">sufficiency of disclosure in AI inventions”. 22 Kasım 2021. </w:t>
      </w:r>
      <w:hyperlink r:id="rId4" w:history="1">
        <w:r w:rsidRPr="00C41282">
          <w:rPr>
            <w:rFonts w:asciiTheme="minorHAnsi" w:hAnsiTheme="minorHAnsi" w:cstheme="minorHAnsi"/>
            <w:w w:val="90"/>
            <w:lang w:val="tr-TR"/>
          </w:rPr>
          <w:t>https://aippi.soutron.net/Portal/DownloadI-</w:t>
        </w:r>
      </w:hyperlink>
      <w:r w:rsidRPr="00C41282">
        <w:rPr>
          <w:rFonts w:asciiTheme="minorHAnsi" w:hAnsiTheme="minorHAnsi" w:cstheme="minorHAnsi"/>
          <w:w w:val="90"/>
          <w:lang w:val="tr-TR"/>
        </w:rPr>
        <w:t xml:space="preserve"> </w:t>
      </w:r>
      <w:hyperlink r:id="rId5" w:history="1">
        <w:r w:rsidRPr="00C41282">
          <w:rPr>
            <w:rFonts w:asciiTheme="minorHAnsi" w:hAnsiTheme="minorHAnsi" w:cstheme="minorHAnsi"/>
            <w:spacing w:val="-4"/>
            <w:lang w:val="tr-TR"/>
          </w:rPr>
          <w:t>mageFile.ashx?fieldValueId=5204</w:t>
        </w:r>
      </w:hyperlink>
      <w:r w:rsidRPr="00C41282">
        <w:rPr>
          <w:rFonts w:asciiTheme="minorHAnsi" w:hAnsiTheme="minorHAnsi" w:cstheme="minorHAnsi"/>
          <w:spacing w:val="-4"/>
          <w:lang w:val="tr-TR"/>
        </w:rPr>
        <w:t>. 18 Ocak 2022 tarihinde erişilmiştir.</w:t>
      </w:r>
    </w:p>
    <w:p w:rsidR="00C41282" w:rsidRPr="00C41282" w:rsidRDefault="00C41282" w:rsidP="00C41282">
      <w:pPr>
        <w:pStyle w:val="GvdeMetni"/>
        <w:kinsoku w:val="0"/>
        <w:overflowPunct w:val="0"/>
        <w:spacing w:before="205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</w:p>
    <w:p w:rsidR="00C41282" w:rsidRPr="00B00BDA" w:rsidRDefault="00C41282" w:rsidP="00C41282">
      <w:pPr>
        <w:pStyle w:val="GvdeMetni"/>
        <w:kinsoku w:val="0"/>
        <w:overflowPunct w:val="0"/>
        <w:spacing w:before="205"/>
        <w:ind w:left="341"/>
        <w:jc w:val="both"/>
        <w:rPr>
          <w:spacing w:val="-4"/>
          <w:sz w:val="18"/>
          <w:szCs w:val="18"/>
          <w:lang w:val="tr-TR"/>
        </w:rPr>
      </w:pPr>
      <w:r w:rsidRPr="00B00BDA">
        <w:rPr>
          <w:spacing w:val="-4"/>
          <w:sz w:val="18"/>
          <w:szCs w:val="18"/>
          <w:lang w:val="tr-TR"/>
        </w:rPr>
        <w:t>*Avukat,</w:t>
      </w:r>
      <w:r w:rsidRPr="00B00BDA">
        <w:rPr>
          <w:spacing w:val="-3"/>
          <w:sz w:val="18"/>
          <w:szCs w:val="18"/>
          <w:lang w:val="tr-TR"/>
        </w:rPr>
        <w:t xml:space="preserve"> </w:t>
      </w:r>
      <w:r w:rsidRPr="00B00BDA">
        <w:rPr>
          <w:spacing w:val="-4"/>
          <w:sz w:val="18"/>
          <w:szCs w:val="18"/>
          <w:lang w:val="tr-TR"/>
        </w:rPr>
        <w:t>Deriş</w:t>
      </w:r>
      <w:r w:rsidRPr="00B00BDA">
        <w:rPr>
          <w:spacing w:val="-2"/>
          <w:sz w:val="18"/>
          <w:szCs w:val="18"/>
          <w:lang w:val="tr-TR"/>
        </w:rPr>
        <w:t xml:space="preserve"> </w:t>
      </w:r>
      <w:r w:rsidRPr="00B00BDA">
        <w:rPr>
          <w:spacing w:val="-4"/>
          <w:sz w:val="18"/>
          <w:szCs w:val="18"/>
          <w:lang w:val="tr-TR"/>
        </w:rPr>
        <w:t>Avukatlık</w:t>
      </w:r>
      <w:r w:rsidRPr="00B00BDA">
        <w:rPr>
          <w:spacing w:val="-2"/>
          <w:sz w:val="18"/>
          <w:szCs w:val="18"/>
          <w:lang w:val="tr-TR"/>
        </w:rPr>
        <w:t xml:space="preserve"> </w:t>
      </w:r>
      <w:r w:rsidRPr="00B00BDA">
        <w:rPr>
          <w:spacing w:val="-4"/>
          <w:sz w:val="18"/>
          <w:szCs w:val="18"/>
          <w:lang w:val="tr-TR"/>
        </w:rPr>
        <w:t>Ortaklığı,</w:t>
      </w:r>
      <w:r w:rsidRPr="00B00BDA">
        <w:rPr>
          <w:spacing w:val="-2"/>
          <w:sz w:val="18"/>
          <w:szCs w:val="18"/>
          <w:lang w:val="tr-TR"/>
        </w:rPr>
        <w:t xml:space="preserve"> </w:t>
      </w:r>
      <w:hyperlink r:id="rId6" w:history="1">
        <w:r w:rsidRPr="00B00BDA">
          <w:rPr>
            <w:spacing w:val="-4"/>
            <w:sz w:val="18"/>
            <w:szCs w:val="18"/>
            <w:lang w:val="tr-TR"/>
          </w:rPr>
          <w:t>elif.arabacioglu@deris.com</w:t>
        </w:r>
      </w:hyperlink>
    </w:p>
    <w:p w:rsidR="00C41282" w:rsidRPr="00C41282" w:rsidRDefault="00C41282" w:rsidP="00C41282">
      <w:pPr>
        <w:pStyle w:val="GvdeMetni"/>
        <w:kinsoku w:val="0"/>
        <w:overflowPunct w:val="0"/>
        <w:spacing w:before="205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</w:p>
    <w:p w:rsidR="00164C4B" w:rsidRPr="00C41282" w:rsidRDefault="00164C4B">
      <w:pPr>
        <w:rPr>
          <w:rFonts w:cstheme="minorHAnsi"/>
          <w:lang w:val="tr-TR"/>
        </w:rPr>
      </w:pPr>
    </w:p>
    <w:sectPr w:rsidR="00164C4B" w:rsidRPr="00C41282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282"/>
    <w:rsid w:val="00164C4B"/>
    <w:rsid w:val="00C41282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59A34875"/>
  <w15:chartTrackingRefBased/>
  <w15:docId w15:val="{00D5B895-7D7B-40C1-940E-BD2F621B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1"/>
    <w:qFormat/>
    <w:rsid w:val="00C41282"/>
    <w:pPr>
      <w:widowControl w:val="0"/>
      <w:autoSpaceDE w:val="0"/>
      <w:autoSpaceDN w:val="0"/>
      <w:adjustRightInd w:val="0"/>
      <w:spacing w:before="135" w:after="0" w:line="240" w:lineRule="auto"/>
      <w:ind w:left="343"/>
      <w:jc w:val="both"/>
      <w:outlineLvl w:val="1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C41282"/>
    <w:rPr>
      <w:rFonts w:ascii="Tahoma" w:eastAsia="Times New Roman" w:hAnsi="Tahoma" w:cs="Tahoma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C41282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99"/>
    <w:rsid w:val="00C41282"/>
    <w:rPr>
      <w:rFonts w:ascii="Century Gothic" w:eastAsia="Times New Roman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f.arabacioglu@deris.com" TargetMode="External"/><Relationship Id="rId5" Type="http://schemas.openxmlformats.org/officeDocument/2006/relationships/hyperlink" Target="https://aippi.soutron.net/Portal/DownloadImageFile.ashx?fieldValueId=5204" TargetMode="External"/><Relationship Id="rId4" Type="http://schemas.openxmlformats.org/officeDocument/2006/relationships/hyperlink" Target="https://aippi.soutron.net/Portal/DownloadImageFile.ashx?fieldValueId=5204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2024-02-15T08:58:00Z</dcterms:created>
  <dcterms:modified xsi:type="dcterms:W3CDTF">2024-02-15T09:02:00Z</dcterms:modified>
</cp:coreProperties>
</file>