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606" w:rsidRPr="009C3606" w:rsidRDefault="009C3606" w:rsidP="009C3606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9"/>
          <w:szCs w:val="19"/>
          <w:lang w:val="tr-TR"/>
        </w:rPr>
      </w:pPr>
    </w:p>
    <w:p w:rsidR="009C3606" w:rsidRPr="009C3606" w:rsidRDefault="009C3606" w:rsidP="009C3606">
      <w:pPr>
        <w:pStyle w:val="GvdeMetni"/>
        <w:kinsoku w:val="0"/>
        <w:overflowPunct w:val="0"/>
        <w:ind w:right="397"/>
        <w:jc w:val="right"/>
        <w:rPr>
          <w:rFonts w:asciiTheme="minorHAnsi" w:hAnsiTheme="minorHAnsi" w:cstheme="minorHAnsi"/>
          <w:spacing w:val="-2"/>
          <w:lang w:val="tr-TR"/>
        </w:rPr>
      </w:pPr>
      <w:r w:rsidRPr="009C3606">
        <w:rPr>
          <w:rFonts w:asciiTheme="minorHAnsi" w:hAnsiTheme="minorHAnsi" w:cstheme="minorHAnsi"/>
          <w:lang w:val="tr-TR"/>
        </w:rPr>
        <w:t>Bilge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Taşkara*</w:t>
      </w:r>
    </w:p>
    <w:p w:rsidR="009C3606" w:rsidRPr="009C3606" w:rsidRDefault="009C3606" w:rsidP="009C3606">
      <w:pPr>
        <w:pStyle w:val="GvdeMetni"/>
        <w:kinsoku w:val="0"/>
        <w:overflowPunct w:val="0"/>
        <w:spacing w:before="150"/>
        <w:ind w:right="397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9C3606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9C3606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Üyesi</w:t>
      </w:r>
    </w:p>
    <w:p w:rsidR="009C3606" w:rsidRPr="009C3606" w:rsidRDefault="009C3606" w:rsidP="009C3606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9C3606" w:rsidRPr="009C3606" w:rsidRDefault="009C3606" w:rsidP="009C3606">
      <w:pPr>
        <w:pStyle w:val="Balk2"/>
        <w:kinsoku w:val="0"/>
        <w:overflowPunct w:val="0"/>
        <w:spacing w:before="237" w:line="297" w:lineRule="auto"/>
        <w:ind w:right="284"/>
        <w:rPr>
          <w:rFonts w:asciiTheme="minorHAnsi" w:hAnsiTheme="minorHAnsi" w:cstheme="minorHAnsi"/>
          <w:spacing w:val="-4"/>
          <w:lang w:val="tr-TR"/>
        </w:rPr>
      </w:pPr>
      <w:bookmarkStart w:id="0" w:name="_GoBack"/>
      <w:r w:rsidRPr="009C3606">
        <w:rPr>
          <w:rFonts w:asciiTheme="minorHAnsi" w:hAnsiTheme="minorHAnsi" w:cstheme="minorHAnsi"/>
          <w:w w:val="90"/>
          <w:lang w:val="tr-TR"/>
        </w:rPr>
        <w:t>AIPPI 2021 Tasarım Konu Sorusu: Endüstriyel Tasarımlar ve Tekniğin Bilinen Durumunun Rolü</w:t>
      </w:r>
    </w:p>
    <w:bookmarkEnd w:id="0"/>
    <w:p w:rsidR="009C3606" w:rsidRPr="009C3606" w:rsidRDefault="009C3606" w:rsidP="009C3606">
      <w:pPr>
        <w:pStyle w:val="GvdeMetni"/>
        <w:kinsoku w:val="0"/>
        <w:overflowPunct w:val="0"/>
        <w:spacing w:before="110" w:line="230" w:lineRule="auto"/>
        <w:ind w:left="343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9C3606">
        <w:rPr>
          <w:rFonts w:asciiTheme="minorHAnsi" w:hAnsiTheme="minorHAnsi" w:cstheme="minorHAnsi"/>
          <w:spacing w:val="-6"/>
          <w:lang w:val="tr-TR"/>
        </w:rPr>
        <w:t xml:space="preserve">Tüm AIPPI üyelerinin bütün yıl heyecanla beklediği etkinlik sanırım </w:t>
      </w:r>
      <w:r w:rsidRPr="009C3606">
        <w:rPr>
          <w:rFonts w:asciiTheme="minorHAnsi" w:hAnsiTheme="minorHAnsi" w:cstheme="minorHAnsi"/>
          <w:spacing w:val="-6"/>
          <w:lang w:val="tr-TR"/>
        </w:rPr>
        <w:t>Dünya Kongresi, Kongre’nin etki</w:t>
      </w:r>
      <w:r w:rsidRPr="009C3606">
        <w:rPr>
          <w:rFonts w:asciiTheme="minorHAnsi" w:hAnsiTheme="minorHAnsi" w:cstheme="minorHAnsi"/>
          <w:spacing w:val="-4"/>
          <w:lang w:val="tr-TR"/>
        </w:rPr>
        <w:t>leşimi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en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yüksek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etkinliği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Çalışma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Soruları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ve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sonunda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ortaya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çıkan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Yönergeler.</w:t>
      </w:r>
    </w:p>
    <w:p w:rsidR="009C3606" w:rsidRPr="009C3606" w:rsidRDefault="009C3606" w:rsidP="009C3606">
      <w:pPr>
        <w:pStyle w:val="GvdeMetni"/>
        <w:kinsoku w:val="0"/>
        <w:overflowPunct w:val="0"/>
        <w:spacing w:before="202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9C3606">
        <w:rPr>
          <w:rFonts w:asciiTheme="minorHAnsi" w:hAnsiTheme="minorHAnsi" w:cstheme="minorHAnsi"/>
          <w:lang w:val="tr-TR"/>
        </w:rPr>
        <w:t>2021 yılının 278 sayı ve “Endüstriyel Tasarımlar ve Tekniğin Bilinen Durumunun Rolü” (Industrial Designs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and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The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Role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of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Prior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Art)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başlıklı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çalışma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sorusu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ise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>en</w:t>
      </w:r>
      <w:r w:rsidRPr="009C3606">
        <w:rPr>
          <w:rFonts w:asciiTheme="minorHAnsi" w:hAnsiTheme="minorHAnsi" w:cstheme="minorHAnsi"/>
          <w:i/>
          <w:iCs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>azından</w:t>
      </w:r>
      <w:r w:rsidRPr="009C3606">
        <w:rPr>
          <w:rFonts w:asciiTheme="minorHAnsi" w:hAnsiTheme="minorHAnsi" w:cstheme="minorHAnsi"/>
          <w:i/>
          <w:iCs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>benim</w:t>
      </w:r>
      <w:r w:rsidRPr="009C3606">
        <w:rPr>
          <w:rFonts w:asciiTheme="minorHAnsi" w:hAnsiTheme="minorHAnsi" w:cstheme="minorHAnsi"/>
          <w:i/>
          <w:iCs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>takip</w:t>
      </w:r>
      <w:r w:rsidRPr="009C3606">
        <w:rPr>
          <w:rFonts w:asciiTheme="minorHAnsi" w:hAnsiTheme="minorHAnsi" w:cstheme="minorHAnsi"/>
          <w:i/>
          <w:iCs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 xml:space="preserve">edebildiğim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kadarıyla</w:t>
      </w:r>
      <w:r w:rsidRPr="009C3606">
        <w:rPr>
          <w:rFonts w:asciiTheme="minorHAnsi" w:hAnsiTheme="minorHAnsi" w:cstheme="minorHAnsi"/>
          <w:i/>
          <w:iCs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son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yılların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en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tartışmalı/heyecanlı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çalışma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sorularından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biriydi.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Öyle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ki;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Kongre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öncesi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ulu</w:t>
      </w:r>
      <w:r w:rsidRPr="009C3606">
        <w:rPr>
          <w:rFonts w:asciiTheme="minorHAnsi" w:hAnsiTheme="minorHAnsi" w:cstheme="minorHAnsi"/>
          <w:spacing w:val="-2"/>
          <w:lang w:val="tr-TR"/>
        </w:rPr>
        <w:t>sal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ekip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moderatörlerinin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katılımıyla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düzenlenen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toplantılarda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üzerinde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uzlaşılan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metnin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can</w:t>
      </w:r>
      <w:r w:rsidRPr="009C3606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alıcı </w:t>
      </w:r>
      <w:r w:rsidRPr="009C3606">
        <w:rPr>
          <w:rFonts w:asciiTheme="minorHAnsi" w:hAnsiTheme="minorHAnsi" w:cstheme="minorHAnsi"/>
          <w:w w:val="90"/>
          <w:lang w:val="tr-TR"/>
        </w:rPr>
        <w:t xml:space="preserve">maddelerinin neredeyse baştan yazıldığını söylesek çok da abartmış olmayız. Kongre sırasında diğer </w:t>
      </w:r>
      <w:r w:rsidRPr="009C3606">
        <w:rPr>
          <w:rFonts w:asciiTheme="minorHAnsi" w:hAnsiTheme="minorHAnsi" w:cstheme="minorHAnsi"/>
          <w:lang w:val="tr-TR"/>
        </w:rPr>
        <w:t>çalışma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sorularına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ilişkin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oturumlar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öngörülen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sürede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sona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ererken,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tasarımlara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ilişkin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konu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soru</w:t>
      </w:r>
      <w:r w:rsidRPr="009C3606">
        <w:rPr>
          <w:rFonts w:asciiTheme="minorHAnsi" w:hAnsiTheme="minorHAnsi" w:cstheme="minorHAnsi"/>
          <w:spacing w:val="-8"/>
          <w:lang w:val="tr-TR"/>
        </w:rPr>
        <w:t>sunun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(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19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Ekim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2021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tarihli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Plenary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>Session)</w:t>
      </w:r>
      <w:r w:rsidRPr="009C3606">
        <w:rPr>
          <w:rFonts w:asciiTheme="minorHAnsi" w:hAnsiTheme="minorHAnsi" w:cstheme="minorHAnsi"/>
          <w:i/>
          <w:iCs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saatler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sürmüş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(beş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saate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yakın)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olması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da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bu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 xml:space="preserve">heyecanın </w:t>
      </w:r>
      <w:r w:rsidRPr="009C3606">
        <w:rPr>
          <w:rFonts w:asciiTheme="minorHAnsi" w:hAnsiTheme="minorHAnsi" w:cstheme="minorHAnsi"/>
          <w:lang w:val="tr-TR"/>
        </w:rPr>
        <w:t>bir parçasıydı.</w:t>
      </w:r>
    </w:p>
    <w:p w:rsidR="009C3606" w:rsidRPr="009C3606" w:rsidRDefault="009C3606" w:rsidP="009C3606">
      <w:pPr>
        <w:pStyle w:val="GvdeMetni"/>
        <w:kinsoku w:val="0"/>
        <w:overflowPunct w:val="0"/>
        <w:spacing w:before="208" w:line="230" w:lineRule="auto"/>
        <w:ind w:left="343" w:right="115"/>
        <w:jc w:val="both"/>
        <w:rPr>
          <w:rFonts w:asciiTheme="minorHAnsi" w:hAnsiTheme="minorHAnsi" w:cstheme="minorHAnsi"/>
          <w:lang w:val="tr-TR"/>
        </w:rPr>
      </w:pPr>
      <w:r w:rsidRPr="009C3606">
        <w:rPr>
          <w:rFonts w:asciiTheme="minorHAnsi" w:hAnsiTheme="minorHAnsi" w:cstheme="minorHAnsi"/>
          <w:lang w:val="tr-TR"/>
        </w:rPr>
        <w:t>ABD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ulusal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grubu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tarafından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son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dakikada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getirilen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değişiklik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önerilerinin;</w:t>
      </w:r>
      <w:r w:rsidRPr="009C3606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Japon,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Çin,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Kore,</w:t>
      </w:r>
      <w:r w:rsidRPr="009C3606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Rus</w:t>
      </w:r>
      <w:r w:rsidRPr="009C3606">
        <w:rPr>
          <w:rFonts w:asciiTheme="minorHAnsi" w:hAnsiTheme="minorHAnsi" w:cstheme="minorHAnsi"/>
          <w:w w:val="90"/>
          <w:lang w:val="tr-TR"/>
        </w:rPr>
        <w:t>ya, Brezilya, Tayvan, Kanada, Avustralya ve Meksika ulusal grupla</w:t>
      </w:r>
      <w:r>
        <w:rPr>
          <w:rFonts w:asciiTheme="minorHAnsi" w:hAnsiTheme="minorHAnsi" w:cstheme="minorHAnsi"/>
          <w:w w:val="90"/>
          <w:lang w:val="tr-TR"/>
        </w:rPr>
        <w:t>rından gelen destek ve/veya ben</w:t>
      </w:r>
      <w:r w:rsidRPr="009C3606">
        <w:rPr>
          <w:rFonts w:asciiTheme="minorHAnsi" w:hAnsiTheme="minorHAnsi" w:cstheme="minorHAnsi"/>
          <w:spacing w:val="-2"/>
          <w:lang w:val="tr-TR"/>
        </w:rPr>
        <w:t>zer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öneri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talepleriyle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desteklenmesi,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bunun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üzerine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Belçika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ve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İspanya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ulusal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grupları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önderliğin</w:t>
      </w:r>
      <w:r w:rsidRPr="009C3606">
        <w:rPr>
          <w:rFonts w:asciiTheme="minorHAnsi" w:hAnsiTheme="minorHAnsi" w:cstheme="minorHAnsi"/>
          <w:lang w:val="tr-TR"/>
        </w:rPr>
        <w:t>de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getirilen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karşıt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öneriler,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Yönerge’nin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Avrupa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Birliği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Tasarım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Direktiflerine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getirilmesi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 xml:space="preserve">düşünülen </w:t>
      </w:r>
      <w:r w:rsidRPr="009C3606">
        <w:rPr>
          <w:rFonts w:asciiTheme="minorHAnsi" w:hAnsiTheme="minorHAnsi" w:cstheme="minorHAnsi"/>
          <w:spacing w:val="-2"/>
          <w:lang w:val="tr-TR"/>
        </w:rPr>
        <w:t>değişiklikler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ile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ne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derece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uyumlu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olduğu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tartışmaları,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AB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Direktifleriyle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uyumlu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olması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savunulan </w:t>
      </w:r>
      <w:r w:rsidRPr="009C3606">
        <w:rPr>
          <w:rFonts w:asciiTheme="minorHAnsi" w:hAnsiTheme="minorHAnsi" w:cstheme="minorHAnsi"/>
          <w:spacing w:val="-8"/>
          <w:lang w:val="tr-TR"/>
        </w:rPr>
        <w:t>Yönerge’nin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dünyanın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diğer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ülkelerindeki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sistemlerle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ne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kadar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uyumlu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olduğu/olabileceği,</w:t>
      </w:r>
      <w:r w:rsidRPr="009C3606">
        <w:rPr>
          <w:rFonts w:asciiTheme="minorHAnsi" w:hAnsiTheme="minorHAnsi" w:cstheme="minorHAnsi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AIPPI’nin fikri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mülkiyetin</w:t>
      </w:r>
      <w:r w:rsidRPr="009C3606">
        <w:rPr>
          <w:rFonts w:asciiTheme="minorHAnsi" w:hAnsiTheme="minorHAnsi" w:cstheme="minorHAnsi"/>
          <w:spacing w:val="-3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en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geniş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perspektifte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ve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en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uyumlu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şekilde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korunması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amacıyla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hareket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>ediyor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8"/>
          <w:lang w:val="tr-TR"/>
        </w:rPr>
        <w:t xml:space="preserve">olması </w:t>
      </w:r>
      <w:r w:rsidRPr="009C3606">
        <w:rPr>
          <w:rFonts w:asciiTheme="minorHAnsi" w:hAnsiTheme="minorHAnsi" w:cstheme="minorHAnsi"/>
          <w:spacing w:val="-2"/>
          <w:lang w:val="tr-TR"/>
        </w:rPr>
        <w:t>gerektiği…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Tüm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bunlar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19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Ekim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2021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tarihli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Plenary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Session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dahil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Kongre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sırasındaki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>iki</w:t>
      </w:r>
      <w:r w:rsidRPr="009C3606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lang w:val="tr-TR"/>
        </w:rPr>
        <w:t xml:space="preserve">toplantıdan </w:t>
      </w:r>
      <w:r w:rsidRPr="009C3606">
        <w:rPr>
          <w:rFonts w:asciiTheme="minorHAnsi" w:hAnsiTheme="minorHAnsi" w:cstheme="minorHAnsi"/>
          <w:lang w:val="tr-TR"/>
        </w:rPr>
        <w:t>akılda kalanlar.</w:t>
      </w:r>
    </w:p>
    <w:p w:rsidR="009C3606" w:rsidRPr="009C3606" w:rsidRDefault="009C3606" w:rsidP="009C3606">
      <w:pPr>
        <w:pStyle w:val="GvdeMetni"/>
        <w:kinsoku w:val="0"/>
        <w:overflowPunct w:val="0"/>
        <w:spacing w:before="210" w:line="230" w:lineRule="auto"/>
        <w:ind w:left="343" w:right="115"/>
        <w:jc w:val="both"/>
        <w:rPr>
          <w:rFonts w:asciiTheme="minorHAnsi" w:hAnsiTheme="minorHAnsi" w:cstheme="minorHAnsi"/>
          <w:spacing w:val="-2"/>
          <w:lang w:val="tr-TR"/>
        </w:rPr>
      </w:pPr>
      <w:r w:rsidRPr="009C3606">
        <w:rPr>
          <w:rFonts w:asciiTheme="minorHAnsi" w:hAnsiTheme="minorHAnsi" w:cstheme="minorHAnsi"/>
          <w:spacing w:val="-4"/>
          <w:lang w:val="tr-TR"/>
        </w:rPr>
        <w:t>Ön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çalışmalara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katılmayıp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(veya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ön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çalışmalarda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sessiz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kalıp),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Kongre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sırasında,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son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dakikada,</w:t>
      </w:r>
      <w:r w:rsidRPr="009C3606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 xml:space="preserve">bir </w:t>
      </w:r>
      <w:r w:rsidRPr="009C3606">
        <w:rPr>
          <w:rFonts w:asciiTheme="minorHAnsi" w:hAnsiTheme="minorHAnsi" w:cstheme="minorHAnsi"/>
          <w:spacing w:val="-6"/>
          <w:lang w:val="tr-TR"/>
        </w:rPr>
        <w:t>dizi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değişiklik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önerisiyle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beliriveren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ve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üstelik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çoğunluğu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da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etkilemeyi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başaran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ABD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ekibine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lang w:val="tr-TR"/>
        </w:rPr>
        <w:t>teşekkür etmeliyiz belki de bize yaşattıkları bu heyecan için. Tüm bu süreçte, iç</w:t>
      </w:r>
      <w:r>
        <w:rPr>
          <w:rFonts w:asciiTheme="minorHAnsi" w:hAnsiTheme="minorHAnsi" w:cstheme="minorHAnsi"/>
          <w:spacing w:val="-6"/>
          <w:lang w:val="tr-TR"/>
        </w:rPr>
        <w:t>erik kadar; sistemin, son daki</w:t>
      </w:r>
      <w:r w:rsidRPr="009C3606">
        <w:rPr>
          <w:rFonts w:asciiTheme="minorHAnsi" w:hAnsiTheme="minorHAnsi" w:cstheme="minorHAnsi"/>
          <w:spacing w:val="-4"/>
          <w:lang w:val="tr-TR"/>
        </w:rPr>
        <w:t>ka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değişiklik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önerilerine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izin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veriyor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olmasının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da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katılımcılar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tarafından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sorgulandığını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 xml:space="preserve">söylemeden </w:t>
      </w:r>
      <w:r w:rsidRPr="009C3606">
        <w:rPr>
          <w:rFonts w:asciiTheme="minorHAnsi" w:hAnsiTheme="minorHAnsi" w:cstheme="minorHAnsi"/>
          <w:spacing w:val="-2"/>
          <w:lang w:val="tr-TR"/>
        </w:rPr>
        <w:t>geçmeyelim.</w:t>
      </w:r>
    </w:p>
    <w:p w:rsidR="009C3606" w:rsidRPr="009C3606" w:rsidRDefault="009C3606" w:rsidP="009C3606">
      <w:pPr>
        <w:pStyle w:val="GvdeMetni"/>
        <w:kinsoku w:val="0"/>
        <w:overflowPunct w:val="0"/>
        <w:spacing w:before="206" w:line="230" w:lineRule="auto"/>
        <w:ind w:left="343" w:right="114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9C3606">
        <w:rPr>
          <w:rFonts w:asciiTheme="minorHAnsi" w:hAnsiTheme="minorHAnsi" w:cstheme="minorHAnsi"/>
          <w:w w:val="90"/>
          <w:lang w:val="tr-TR"/>
        </w:rPr>
        <w:t xml:space="preserve">Konunun içeriğine de hakkettiği önem ve ciddiyetle yaklaşacak olursak; 278 sayılı çalışma sorusunun </w:t>
      </w:r>
      <w:r w:rsidRPr="009C3606">
        <w:rPr>
          <w:rFonts w:asciiTheme="minorHAnsi" w:hAnsiTheme="minorHAnsi" w:cstheme="minorHAnsi"/>
          <w:spacing w:val="-4"/>
          <w:lang w:val="tr-TR"/>
        </w:rPr>
        <w:t>seçilme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sebebini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“Endüstriyel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tasarımların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koruma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koşulları”nın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düzenlendiği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TRIPS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Bölüm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4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Madde 25’te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yer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alan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kavramların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tartışılması,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açıklığa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kavuşturulması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ve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uyumlaştırılması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olarak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özetleye- biliriz.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“Yenilik”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ve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“tekniğinin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bilinen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durumu”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kavramları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konusunda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daha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önce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“çalışma</w:t>
      </w:r>
      <w:r w:rsidRPr="009C3606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sorusu” formatında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yapılmış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herhangi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bir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analitik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çalışma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bulunmaması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da</w:t>
      </w:r>
      <w:r w:rsidRPr="009C3606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(2014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yılına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ait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228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sayı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>ve</w:t>
      </w:r>
      <w:r w:rsidRPr="009C3606">
        <w:rPr>
          <w:rFonts w:asciiTheme="minorHAnsi" w:hAnsiTheme="minorHAnsi" w:cstheme="minorHAnsi"/>
          <w:i/>
          <w:iCs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i/>
          <w:iCs/>
          <w:spacing w:val="-4"/>
          <w:lang w:val="tr-TR"/>
        </w:rPr>
        <w:t>“Pa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tents-Prior</w:t>
      </w:r>
      <w:r w:rsidRPr="009C3606">
        <w:rPr>
          <w:rFonts w:asciiTheme="minorHAnsi" w:hAnsiTheme="minorHAnsi" w:cstheme="minorHAnsi"/>
          <w:i/>
          <w:iCs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User</w:t>
      </w:r>
      <w:r w:rsidRPr="009C3606">
        <w:rPr>
          <w:rFonts w:asciiTheme="minorHAnsi" w:hAnsiTheme="minorHAnsi" w:cstheme="minorHAnsi"/>
          <w:i/>
          <w:iCs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Rights”</w:t>
      </w:r>
      <w:r w:rsidRPr="009C3606">
        <w:rPr>
          <w:rFonts w:asciiTheme="minorHAnsi" w:hAnsiTheme="minorHAnsi" w:cstheme="minorHAnsi"/>
          <w:i/>
          <w:iCs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başlıklı</w:t>
      </w:r>
      <w:r w:rsidRPr="009C3606">
        <w:rPr>
          <w:rFonts w:asciiTheme="minorHAnsi" w:hAnsiTheme="minorHAnsi" w:cstheme="minorHAnsi"/>
          <w:i/>
          <w:iCs/>
          <w:spacing w:val="22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çalışma</w:t>
      </w:r>
      <w:r w:rsidRPr="009C3606">
        <w:rPr>
          <w:rFonts w:asciiTheme="minorHAnsi" w:hAnsiTheme="minorHAnsi" w:cstheme="minorHAnsi"/>
          <w:i/>
          <w:iCs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sorusu</w:t>
      </w:r>
      <w:r w:rsidRPr="009C3606">
        <w:rPr>
          <w:rFonts w:asciiTheme="minorHAnsi" w:hAnsiTheme="minorHAnsi" w:cstheme="minorHAnsi"/>
          <w:i/>
          <w:iCs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hariç)</w:t>
      </w:r>
      <w:r w:rsidRPr="009C3606">
        <w:rPr>
          <w:rFonts w:asciiTheme="minorHAnsi" w:hAnsiTheme="minorHAnsi" w:cstheme="minorHAnsi"/>
          <w:i/>
          <w:iCs/>
          <w:spacing w:val="22"/>
          <w:lang w:val="tr-TR"/>
        </w:rPr>
        <w:t xml:space="preserve"> </w:t>
      </w:r>
      <w:r w:rsidRPr="009C3606">
        <w:rPr>
          <w:rFonts w:asciiTheme="minorHAnsi" w:hAnsiTheme="minorHAnsi" w:cstheme="minorHAnsi"/>
          <w:w w:val="90"/>
          <w:lang w:val="tr-TR"/>
        </w:rPr>
        <w:t>Q278’in</w:t>
      </w:r>
      <w:r w:rsidRPr="009C3606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w w:val="90"/>
          <w:lang w:val="tr-TR"/>
        </w:rPr>
        <w:t>belirlenme</w:t>
      </w:r>
      <w:r w:rsidRPr="009C3606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w w:val="90"/>
          <w:lang w:val="tr-TR"/>
        </w:rPr>
        <w:t>sebepleri</w:t>
      </w:r>
      <w:r w:rsidRPr="009C3606">
        <w:rPr>
          <w:rFonts w:asciiTheme="minorHAnsi" w:hAnsiTheme="minorHAnsi" w:cstheme="minorHAnsi"/>
          <w:spacing w:val="21"/>
          <w:lang w:val="tr-TR"/>
        </w:rPr>
        <w:t xml:space="preserve"> </w:t>
      </w:r>
      <w:r w:rsidRPr="009C3606">
        <w:rPr>
          <w:rFonts w:asciiTheme="minorHAnsi" w:hAnsiTheme="minorHAnsi" w:cstheme="minorHAnsi"/>
          <w:w w:val="90"/>
          <w:lang w:val="tr-TR"/>
        </w:rPr>
        <w:t>arasında</w:t>
      </w:r>
      <w:r w:rsidRPr="009C3606">
        <w:rPr>
          <w:rFonts w:asciiTheme="minorHAnsi" w:hAnsiTheme="minorHAnsi" w:cstheme="minorHAnsi"/>
          <w:spacing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w w:val="90"/>
          <w:lang w:val="tr-TR"/>
        </w:rPr>
        <w:t>sayılabilir.</w:t>
      </w:r>
    </w:p>
    <w:p w:rsidR="009C3606" w:rsidRPr="009C3606" w:rsidRDefault="009C3606" w:rsidP="009C3606">
      <w:pPr>
        <w:pStyle w:val="GvdeMetni"/>
        <w:kinsoku w:val="0"/>
        <w:overflowPunct w:val="0"/>
        <w:spacing w:before="104" w:line="230" w:lineRule="auto"/>
        <w:ind w:left="341" w:right="115"/>
        <w:jc w:val="both"/>
        <w:rPr>
          <w:rFonts w:asciiTheme="minorHAnsi" w:hAnsiTheme="minorHAnsi" w:cstheme="minorHAnsi"/>
          <w:lang w:val="tr-TR"/>
        </w:rPr>
      </w:pPr>
      <w:r w:rsidRPr="009C3606">
        <w:rPr>
          <w:rFonts w:asciiTheme="minorHAnsi" w:hAnsiTheme="minorHAnsi" w:cstheme="minorHAnsi"/>
          <w:w w:val="90"/>
          <w:lang w:val="tr-TR"/>
        </w:rPr>
        <w:t>Yönerge’de belirtildiği üzere Q278 “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 xml:space="preserve">bir tasarımın korunması için gerekliliklerin değerlendirilmesinde ve ihlal bağlamında bir tasarım hakkının koruma kapsamının belirlenmesinde endüstriyel tasarımlara ilişkin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 xml:space="preserve">olarak tekniğin bilinen durumun rolü ile ilgilidir.” 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Tasarımlara ilişkin terminoloji, yargı bölgelerine göre </w:t>
      </w:r>
      <w:r w:rsidRPr="009C3606">
        <w:rPr>
          <w:rFonts w:asciiTheme="minorHAnsi" w:hAnsiTheme="minorHAnsi" w:cstheme="minorHAnsi"/>
          <w:w w:val="90"/>
          <w:lang w:val="tr-TR"/>
        </w:rPr>
        <w:t>değişebildiği için (tasarım tescili, tasarım patenti gibi) çalışma kapsamında “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 xml:space="preserve">bir nesnenin veya imalat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ürününün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dış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görünüşünü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veya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süslemesini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korumaya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yönelik,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tescilsiz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ve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tescilli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veya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patentli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>bir</w:t>
      </w:r>
      <w:r w:rsidRPr="009C3606">
        <w:rPr>
          <w:rFonts w:asciiTheme="minorHAnsi" w:hAnsiTheme="minorHAnsi" w:cstheme="minorHAnsi"/>
          <w:i/>
          <w:iCs/>
          <w:spacing w:val="-8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 xml:space="preserve">fikri </w:t>
      </w:r>
      <w:r w:rsidRPr="009C3606">
        <w:rPr>
          <w:rFonts w:asciiTheme="minorHAnsi" w:hAnsiTheme="minorHAnsi" w:cstheme="minorHAnsi"/>
          <w:i/>
          <w:iCs/>
          <w:lang w:val="tr-TR"/>
        </w:rPr>
        <w:t>mülkiyet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lang w:val="tr-TR"/>
        </w:rPr>
        <w:t>hakkını”</w:t>
      </w:r>
      <w:r w:rsidRPr="009C3606">
        <w:rPr>
          <w:rFonts w:asciiTheme="minorHAnsi" w:hAnsiTheme="minorHAnsi" w:cstheme="minorHAnsi"/>
          <w:i/>
          <w:iCs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belirtmek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üzere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“tasarım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hakkı”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kavramı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kullanılmış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/</w:t>
      </w:r>
      <w:r w:rsidRPr="009C3606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çalışılmıştır.</w:t>
      </w:r>
    </w:p>
    <w:p w:rsidR="009C3606" w:rsidRPr="009C3606" w:rsidRDefault="009C3606" w:rsidP="009C3606">
      <w:pPr>
        <w:pStyle w:val="GvdeMetni"/>
        <w:kinsoku w:val="0"/>
        <w:overflowPunct w:val="0"/>
        <w:spacing w:before="107" w:line="230" w:lineRule="auto"/>
        <w:ind w:left="341" w:right="114"/>
        <w:jc w:val="both"/>
        <w:rPr>
          <w:rFonts w:asciiTheme="minorHAnsi" w:hAnsiTheme="minorHAnsi" w:cstheme="minorHAnsi"/>
          <w:w w:val="90"/>
          <w:lang w:val="tr-TR"/>
        </w:rPr>
      </w:pPr>
      <w:r w:rsidRPr="009C3606">
        <w:rPr>
          <w:rFonts w:asciiTheme="minorHAnsi" w:hAnsiTheme="minorHAnsi" w:cstheme="minorHAnsi"/>
          <w:spacing w:val="-4"/>
          <w:lang w:val="tr-TR"/>
        </w:rPr>
        <w:t>Ulusal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Gruplar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(ve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tabii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Bölgesel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Gruplar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ile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Bağımsız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Üyeler)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tarafından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hazırlanan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lang w:val="tr-TR"/>
        </w:rPr>
        <w:t>raporların</w:t>
      </w:r>
      <w:r w:rsidRPr="009C3606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spacing w:val="-4"/>
          <w:lang w:val="tr-TR"/>
        </w:rPr>
        <w:t xml:space="preserve">(top-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lam</w:t>
      </w:r>
      <w:r w:rsidRPr="009C3606">
        <w:rPr>
          <w:rFonts w:asciiTheme="minorHAnsi" w:hAnsiTheme="minorHAnsi" w:cstheme="minorHAnsi"/>
          <w:i/>
          <w:iCs/>
          <w:spacing w:val="-10"/>
          <w:w w:val="90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39</w:t>
      </w:r>
      <w:r w:rsidRPr="009C3606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adet</w:t>
      </w:r>
      <w:r w:rsidRPr="009C3606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rapora</w:t>
      </w:r>
      <w:r w:rsidRPr="009C3606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hyperlink r:id="rId5" w:history="1">
        <w:r w:rsidRPr="009C3606">
          <w:rPr>
            <w:rFonts w:asciiTheme="minorHAnsi" w:hAnsiTheme="minorHAnsi" w:cstheme="minorHAnsi"/>
            <w:i/>
            <w:iCs/>
            <w:w w:val="90"/>
            <w:lang w:val="tr-TR"/>
          </w:rPr>
          <w:t>https://aippi.soutron.net/Portal/Default/en-GB/SearchResults</w:t>
        </w:r>
      </w:hyperlink>
      <w:r w:rsidRPr="009C3606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>adresinden</w:t>
      </w:r>
      <w:r w:rsidRPr="009C3606">
        <w:rPr>
          <w:rFonts w:asciiTheme="minorHAnsi" w:hAnsiTheme="minorHAnsi" w:cstheme="minorHAnsi"/>
          <w:i/>
          <w:iCs/>
          <w:spacing w:val="-9"/>
          <w:w w:val="90"/>
          <w:lang w:val="tr-TR"/>
        </w:rPr>
        <w:t xml:space="preserve"> </w:t>
      </w:r>
      <w:r w:rsidRPr="009C3606">
        <w:rPr>
          <w:rFonts w:asciiTheme="minorHAnsi" w:hAnsiTheme="minorHAnsi" w:cstheme="minorHAnsi"/>
          <w:i/>
          <w:iCs/>
          <w:w w:val="90"/>
          <w:lang w:val="tr-TR"/>
        </w:rPr>
        <w:t xml:space="preserve">ulaşılabilir) </w:t>
      </w:r>
      <w:r w:rsidRPr="009C3606">
        <w:rPr>
          <w:rFonts w:asciiTheme="minorHAnsi" w:hAnsiTheme="minorHAnsi" w:cstheme="minorHAnsi"/>
          <w:w w:val="90"/>
          <w:lang w:val="tr-TR"/>
        </w:rPr>
        <w:t xml:space="preserve">incelenmesini müteakip hazırlanan ilk Yönerge taslağına ve özet rapora </w:t>
      </w:r>
      <w:hyperlink r:id="rId6" w:history="1">
        <w:r w:rsidRPr="009C3606">
          <w:rPr>
            <w:rFonts w:asciiTheme="minorHAnsi" w:hAnsiTheme="minorHAnsi" w:cstheme="minorHAnsi"/>
            <w:w w:val="90"/>
            <w:lang w:val="tr-TR"/>
          </w:rPr>
          <w:t>https://aippi.soutron.net/Por-</w:t>
        </w:r>
      </w:hyperlink>
      <w:r w:rsidRPr="009C3606">
        <w:rPr>
          <w:rFonts w:asciiTheme="minorHAnsi" w:hAnsiTheme="minorHAnsi" w:cstheme="minorHAnsi"/>
          <w:w w:val="90"/>
          <w:lang w:val="tr-TR"/>
        </w:rPr>
        <w:t xml:space="preserve"> </w:t>
      </w:r>
      <w:hyperlink r:id="rId7" w:history="1">
        <w:r w:rsidRPr="009C3606">
          <w:rPr>
            <w:rFonts w:asciiTheme="minorHAnsi" w:hAnsiTheme="minorHAnsi" w:cstheme="minorHAnsi"/>
            <w:w w:val="90"/>
            <w:lang w:val="tr-TR"/>
          </w:rPr>
          <w:t>tal/DownloadImageFile.ashx?fieldValueId=5181</w:t>
        </w:r>
      </w:hyperlink>
      <w:r w:rsidRPr="009C3606">
        <w:rPr>
          <w:rFonts w:asciiTheme="minorHAnsi" w:hAnsiTheme="minorHAnsi" w:cstheme="minorHAnsi"/>
          <w:w w:val="90"/>
          <w:lang w:val="tr-TR"/>
        </w:rPr>
        <w:t xml:space="preserve"> adresinden ulaşmak mümkün olmakla birlikte Kong- re’de kabul edilen Yönerge’nin son haline bakacak ve kabaca özetleyecek olursak;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165" w:line="230" w:lineRule="auto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 xml:space="preserve">Bir tasarım hakkının tescil edilebilirliğinin/patentlenebilirliğinin ve/veya geçerliliğinin ve/veya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koruma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kapsamının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değerlendirilmesinde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tekniğin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durumu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(bir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ölçüt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olarak)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kullanıl- malıdır.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203" w:line="230" w:lineRule="auto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lastRenderedPageBreak/>
        <w:t>Tekniğin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durumu;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dünyanın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herhangi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yerinde,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herhangi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şekilde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kamuya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 xml:space="preserve">sunulan,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herhangi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açıklamadır.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Bununla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birlikte,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tasarım,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açık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veya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zımni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gizlilik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koşulları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altında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üçüncü bir tarafa ifşa edildiğinde, kamuya açıklanmış sayılmaz.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204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Tekniğin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durumunun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tespitinde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zaman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kriteri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şu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iki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koşula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göre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belirlenmelidir: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(i)</w:t>
      </w:r>
      <w:r w:rsidRPr="009C3606">
        <w:rPr>
          <w:rFonts w:asciiTheme="minorHAnsi" w:hAnsiTheme="minorHAnsi" w:cstheme="minorHAnsi"/>
          <w:spacing w:val="-9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  <w:lang w:val="tr-TR"/>
        </w:rPr>
        <w:t>tes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cilli/patentli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tasarım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hakkı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için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başvuru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tarihi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veya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(varsa)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rüçhan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tarihinden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hangisi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önce</w:t>
      </w:r>
      <w:r w:rsidRPr="009C3606">
        <w:rPr>
          <w:rFonts w:asciiTheme="minorHAnsi" w:hAnsiTheme="minorHAnsi" w:cstheme="minorHAnsi"/>
          <w:spacing w:val="-8"/>
          <w:sz w:val="22"/>
          <w:szCs w:val="22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sz w:val="22"/>
          <w:szCs w:val="22"/>
          <w:lang w:val="tr-TR"/>
        </w:rPr>
        <w:t>geli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yorsa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(ii)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tescilsiz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tasarım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hakkı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için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tasarımın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kamuya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açıklandığı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tarih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203" w:line="230" w:lineRule="auto"/>
        <w:rPr>
          <w:rFonts w:asciiTheme="minorHAnsi" w:hAnsiTheme="minorHAnsi" w:cstheme="minorHAnsi"/>
          <w:spacing w:val="-2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z w:val="22"/>
          <w:szCs w:val="22"/>
          <w:lang w:val="tr-TR"/>
        </w:rPr>
        <w:t xml:space="preserve">Tescilli/patentli bir tasarımla ilgili olarak; hoşgörü süresi içinde </w:t>
      </w:r>
      <w:r>
        <w:rPr>
          <w:rFonts w:asciiTheme="minorHAnsi" w:hAnsiTheme="minorHAnsi" w:cstheme="minorHAnsi"/>
          <w:sz w:val="22"/>
          <w:szCs w:val="22"/>
          <w:lang w:val="tr-TR"/>
        </w:rPr>
        <w:t>yani ilgili tasarım hakkı tari</w:t>
      </w:r>
      <w:r w:rsidRPr="009C3606">
        <w:rPr>
          <w:rFonts w:asciiTheme="minorHAnsi" w:hAnsiTheme="minorHAnsi" w:cstheme="minorHAnsi"/>
          <w:w w:val="90"/>
          <w:sz w:val="22"/>
          <w:szCs w:val="22"/>
          <w:lang w:val="tr-TR"/>
        </w:rPr>
        <w:t xml:space="preserve">hinden hemen önceki 12 ay içinde, kamuya yapılan açıklama şu iki şekilden birinde yapılmışsa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tekniğin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durumu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olarak</w:t>
      </w:r>
      <w:r w:rsidRPr="009C3606">
        <w:rPr>
          <w:rFonts w:asciiTheme="minorHAnsi" w:hAnsiTheme="minorHAnsi" w:cstheme="minorHAnsi"/>
          <w:spacing w:val="-13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kabul</w:t>
      </w:r>
      <w:r w:rsidRPr="009C3606">
        <w:rPr>
          <w:rFonts w:asciiTheme="minorHAnsi" w:hAnsiTheme="minorHAnsi" w:cstheme="minorHAnsi"/>
          <w:spacing w:val="-14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edilmeyecektir: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203" w:line="230" w:lineRule="auto"/>
        <w:rPr>
          <w:rFonts w:asciiTheme="minorHAnsi" w:hAnsiTheme="minorHAnsi" w:cstheme="minorHAnsi"/>
          <w:spacing w:val="-4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tasarım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hakkının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geçerliliğini,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ulusal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mevzuatta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tarif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edilen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yenilik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dışındaki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 xml:space="preserve">gerekçelerle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tartışmak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mümkün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olmalıdır.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(örneğin,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ayırt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edici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özellik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veya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aşikar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olmama</w:t>
      </w:r>
      <w:r w:rsidRPr="009C3606">
        <w:rPr>
          <w:rFonts w:asciiTheme="minorHAnsi" w:hAnsiTheme="minorHAnsi" w:cstheme="minorHAnsi"/>
          <w:spacing w:val="-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4"/>
          <w:sz w:val="22"/>
          <w:szCs w:val="22"/>
          <w:lang w:val="tr-TR"/>
        </w:rPr>
        <w:t>durumu)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line="230" w:lineRule="auto"/>
        <w:rPr>
          <w:rFonts w:asciiTheme="minorHAnsi" w:hAnsiTheme="minorHAnsi" w:cstheme="minorHAnsi"/>
          <w:spacing w:val="-6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tasarım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hakkının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yenilikten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yoksun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olması,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tekniğin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durumlarına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>ilişkin</w:t>
      </w:r>
      <w:r w:rsidRPr="009C3606">
        <w:rPr>
          <w:rFonts w:asciiTheme="minorHAnsi" w:hAnsiTheme="minorHAnsi" w:cstheme="minorHAnsi"/>
          <w:spacing w:val="-12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2"/>
          <w:sz w:val="22"/>
          <w:szCs w:val="22"/>
          <w:lang w:val="tr-TR"/>
        </w:rPr>
        <w:t xml:space="preserve">referansların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kombinasyonuna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22"/>
          <w:szCs w:val="22"/>
          <w:lang w:val="tr-TR"/>
        </w:rPr>
        <w:t>dayandırılamaz.</w:t>
      </w:r>
    </w:p>
    <w:p w:rsidR="009C3606" w:rsidRPr="009C3606" w:rsidRDefault="009C3606" w:rsidP="009C3606">
      <w:pPr>
        <w:pStyle w:val="ListeParagraf"/>
        <w:numPr>
          <w:ilvl w:val="0"/>
          <w:numId w:val="1"/>
        </w:numPr>
        <w:tabs>
          <w:tab w:val="left" w:pos="908"/>
        </w:tabs>
        <w:kinsoku w:val="0"/>
        <w:overflowPunct w:val="0"/>
        <w:spacing w:before="203" w:line="230" w:lineRule="auto"/>
        <w:rPr>
          <w:rFonts w:asciiTheme="minorHAnsi" w:hAnsiTheme="minorHAnsi" w:cstheme="minorHAnsi"/>
          <w:sz w:val="22"/>
          <w:szCs w:val="22"/>
          <w:lang w:val="tr-TR"/>
        </w:rPr>
      </w:pPr>
      <w:r w:rsidRPr="009C3606">
        <w:rPr>
          <w:rFonts w:asciiTheme="minorHAnsi" w:hAnsiTheme="minorHAnsi" w:cstheme="minorHAnsi"/>
          <w:sz w:val="22"/>
          <w:szCs w:val="22"/>
          <w:lang w:val="tr-TR"/>
        </w:rPr>
        <w:t>Bir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tasarım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hakkının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geçerliliği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koruma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kapsamı,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tekniğin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bilinen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durumu</w:t>
      </w:r>
      <w:r w:rsidRPr="009C3606">
        <w:rPr>
          <w:rFonts w:asciiTheme="minorHAnsi" w:hAnsiTheme="minorHAnsi" w:cstheme="minorHAnsi"/>
          <w:spacing w:val="-10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referanslarının sayısına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ve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genel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izlenime</w:t>
      </w:r>
      <w:r w:rsidRPr="009C3606">
        <w:rPr>
          <w:rFonts w:asciiTheme="minorHAnsi" w:hAnsiTheme="minorHAnsi" w:cstheme="minorHAnsi"/>
          <w:spacing w:val="-15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bağlı</w:t>
      </w:r>
      <w:r w:rsidRPr="009C3606">
        <w:rPr>
          <w:rFonts w:asciiTheme="minorHAnsi" w:hAnsiTheme="minorHAnsi" w:cstheme="minorHAnsi"/>
          <w:spacing w:val="-16"/>
          <w:sz w:val="22"/>
          <w:szCs w:val="22"/>
          <w:lang w:val="tr-TR"/>
        </w:rPr>
        <w:t xml:space="preserve"> </w:t>
      </w:r>
      <w:r w:rsidRPr="009C3606">
        <w:rPr>
          <w:rFonts w:asciiTheme="minorHAnsi" w:hAnsiTheme="minorHAnsi" w:cstheme="minorHAnsi"/>
          <w:sz w:val="22"/>
          <w:szCs w:val="22"/>
          <w:lang w:val="tr-TR"/>
        </w:rPr>
        <w:t>olmalıdır.</w:t>
      </w:r>
    </w:p>
    <w:p w:rsidR="009C3606" w:rsidRPr="009C3606" w:rsidRDefault="009C3606" w:rsidP="009C3606">
      <w:pPr>
        <w:pStyle w:val="GvdeMetni"/>
        <w:kinsoku w:val="0"/>
        <w:overflowPunct w:val="0"/>
        <w:spacing w:before="202" w:line="230" w:lineRule="auto"/>
        <w:ind w:left="341" w:right="248"/>
        <w:jc w:val="both"/>
        <w:rPr>
          <w:rFonts w:asciiTheme="minorHAnsi" w:hAnsiTheme="minorHAnsi" w:cstheme="minorHAnsi"/>
          <w:lang w:val="tr-TR"/>
        </w:rPr>
      </w:pPr>
      <w:r w:rsidRPr="009C3606">
        <w:rPr>
          <w:rFonts w:asciiTheme="minorHAnsi" w:hAnsiTheme="minorHAnsi" w:cstheme="minorHAnsi"/>
          <w:lang w:val="tr-TR"/>
        </w:rPr>
        <w:t>39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grubun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birer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yıllık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çalışmasına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dayandığı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için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belki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de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39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yıllık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bir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çalışma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olarak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9C3606">
        <w:rPr>
          <w:rFonts w:asciiTheme="minorHAnsi" w:hAnsiTheme="minorHAnsi" w:cstheme="minorHAnsi"/>
          <w:lang w:val="tr-TR"/>
        </w:rPr>
        <w:t>bile</w:t>
      </w:r>
      <w:r w:rsidRPr="009C3606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nitelen</w:t>
      </w:r>
      <w:r w:rsidRPr="009C3606">
        <w:rPr>
          <w:rFonts w:asciiTheme="minorHAnsi" w:hAnsiTheme="minorHAnsi" w:cstheme="minorHAnsi"/>
          <w:spacing w:val="-4"/>
          <w:lang w:val="tr-TR"/>
        </w:rPr>
        <w:t xml:space="preserve">dirilebilecek Yönerge’nin orijinal İngilizce metnine ulaşmak ise elbette AIPPI web sitesi üzerinden </w:t>
      </w:r>
      <w:r w:rsidRPr="009C3606">
        <w:rPr>
          <w:rFonts w:asciiTheme="minorHAnsi" w:hAnsiTheme="minorHAnsi" w:cstheme="minorHAnsi"/>
          <w:lang w:val="tr-TR"/>
        </w:rPr>
        <w:t>mümkün, link ise aşağıda:</w:t>
      </w:r>
    </w:p>
    <w:p w:rsidR="009C3606" w:rsidRPr="009C3606" w:rsidRDefault="009C3606" w:rsidP="009C3606">
      <w:pPr>
        <w:pStyle w:val="GvdeMetni"/>
        <w:kinsoku w:val="0"/>
        <w:overflowPunct w:val="0"/>
        <w:spacing w:before="154"/>
        <w:ind w:left="341"/>
        <w:rPr>
          <w:rFonts w:asciiTheme="minorHAnsi" w:hAnsiTheme="minorHAnsi" w:cstheme="minorHAnsi"/>
          <w:spacing w:val="-5"/>
          <w:w w:val="90"/>
          <w:lang w:val="tr-TR"/>
        </w:rPr>
      </w:pPr>
      <w:hyperlink r:id="rId8" w:history="1">
        <w:r w:rsidRPr="009C3606">
          <w:rPr>
            <w:rFonts w:asciiTheme="minorHAnsi" w:hAnsiTheme="minorHAnsi" w:cstheme="minorHAnsi"/>
            <w:w w:val="90"/>
            <w:lang w:val="tr-TR"/>
          </w:rPr>
          <w:t>https://aippi.org/about-aippi/committees/industrial-designs-and-the-role-of-prior-</w:t>
        </w:r>
        <w:r w:rsidRPr="009C3606">
          <w:rPr>
            <w:rFonts w:asciiTheme="minorHAnsi" w:hAnsiTheme="minorHAnsi" w:cstheme="minorHAnsi"/>
            <w:spacing w:val="-5"/>
            <w:w w:val="90"/>
            <w:lang w:val="tr-TR"/>
          </w:rPr>
          <w:t>art</w:t>
        </w:r>
      </w:hyperlink>
    </w:p>
    <w:p w:rsidR="009C3606" w:rsidRPr="009C3606" w:rsidRDefault="009C3606" w:rsidP="009C3606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9C3606" w:rsidRPr="009C3606" w:rsidRDefault="009C3606" w:rsidP="009C3606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9C3606" w:rsidRPr="009C3606" w:rsidRDefault="009C3606" w:rsidP="009C3606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9C3606" w:rsidRPr="009C3606" w:rsidRDefault="009C3606" w:rsidP="009C3606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9C3606" w:rsidRPr="009C3606" w:rsidRDefault="009C3606" w:rsidP="009C3606">
      <w:pPr>
        <w:pStyle w:val="GvdeMetni"/>
        <w:kinsoku w:val="0"/>
        <w:overflowPunct w:val="0"/>
        <w:spacing w:before="175"/>
        <w:ind w:left="341"/>
        <w:rPr>
          <w:rFonts w:asciiTheme="minorHAnsi" w:hAnsiTheme="minorHAnsi" w:cstheme="minorHAnsi"/>
          <w:spacing w:val="-6"/>
          <w:sz w:val="18"/>
          <w:szCs w:val="18"/>
          <w:lang w:val="tr-TR"/>
        </w:rPr>
      </w:pP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*Marka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Vekili,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Deriş</w:t>
      </w:r>
      <w:r w:rsidRPr="009C3606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Patent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&amp;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Marka</w:t>
      </w:r>
      <w:r w:rsidRPr="009C3606">
        <w:rPr>
          <w:rFonts w:asciiTheme="minorHAnsi" w:hAnsiTheme="minorHAnsi" w:cstheme="minorHAnsi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Acentalığı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r w:rsidRPr="009C3606">
        <w:rPr>
          <w:rFonts w:asciiTheme="minorHAnsi" w:hAnsiTheme="minorHAnsi" w:cstheme="minorHAnsi"/>
          <w:spacing w:val="-6"/>
          <w:sz w:val="18"/>
          <w:szCs w:val="18"/>
          <w:lang w:val="tr-TR"/>
        </w:rPr>
        <w:t>A.Ş.,</w:t>
      </w:r>
      <w:r w:rsidRPr="009C3606">
        <w:rPr>
          <w:rFonts w:asciiTheme="minorHAnsi" w:hAnsiTheme="minorHAnsi" w:cstheme="minorHAnsi"/>
          <w:spacing w:val="-1"/>
          <w:sz w:val="18"/>
          <w:szCs w:val="18"/>
          <w:lang w:val="tr-TR"/>
        </w:rPr>
        <w:t xml:space="preserve"> </w:t>
      </w:r>
      <w:hyperlink r:id="rId9" w:history="1">
        <w:r w:rsidRPr="009C3606">
          <w:rPr>
            <w:rFonts w:asciiTheme="minorHAnsi" w:hAnsiTheme="minorHAnsi" w:cstheme="minorHAnsi"/>
            <w:spacing w:val="-6"/>
            <w:sz w:val="18"/>
            <w:szCs w:val="18"/>
            <w:lang w:val="tr-TR"/>
          </w:rPr>
          <w:t>bilge.taskara@deris.com</w:t>
        </w:r>
      </w:hyperlink>
    </w:p>
    <w:p w:rsidR="00164C4B" w:rsidRPr="009C3606" w:rsidRDefault="00164C4B">
      <w:pPr>
        <w:rPr>
          <w:rFonts w:cstheme="minorHAnsi"/>
          <w:lang w:val="tr-TR"/>
        </w:rPr>
      </w:pPr>
    </w:p>
    <w:sectPr w:rsidR="00164C4B" w:rsidRPr="009C3606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908" w:hanging="284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842" w:hanging="284"/>
      </w:pPr>
    </w:lvl>
    <w:lvl w:ilvl="2">
      <w:numFmt w:val="bullet"/>
      <w:lvlText w:val="•"/>
      <w:lvlJc w:val="left"/>
      <w:pPr>
        <w:ind w:left="2784" w:hanging="284"/>
      </w:pPr>
    </w:lvl>
    <w:lvl w:ilvl="3">
      <w:numFmt w:val="bullet"/>
      <w:lvlText w:val="•"/>
      <w:lvlJc w:val="left"/>
      <w:pPr>
        <w:ind w:left="3726" w:hanging="284"/>
      </w:pPr>
    </w:lvl>
    <w:lvl w:ilvl="4">
      <w:numFmt w:val="bullet"/>
      <w:lvlText w:val="•"/>
      <w:lvlJc w:val="left"/>
      <w:pPr>
        <w:ind w:left="4668" w:hanging="284"/>
      </w:pPr>
    </w:lvl>
    <w:lvl w:ilvl="5">
      <w:numFmt w:val="bullet"/>
      <w:lvlText w:val="•"/>
      <w:lvlJc w:val="left"/>
      <w:pPr>
        <w:ind w:left="5610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494" w:hanging="284"/>
      </w:pPr>
    </w:lvl>
    <w:lvl w:ilvl="8">
      <w:numFmt w:val="bullet"/>
      <w:lvlText w:val="•"/>
      <w:lvlJc w:val="left"/>
      <w:pPr>
        <w:ind w:left="8436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06"/>
    <w:rsid w:val="00164C4B"/>
    <w:rsid w:val="009C3606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5123929"/>
  <w15:chartTrackingRefBased/>
  <w15:docId w15:val="{801121BA-4B2C-4973-8121-979CF4D6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1"/>
    <w:qFormat/>
    <w:rsid w:val="009C3606"/>
    <w:pPr>
      <w:widowControl w:val="0"/>
      <w:autoSpaceDE w:val="0"/>
      <w:autoSpaceDN w:val="0"/>
      <w:adjustRightInd w:val="0"/>
      <w:spacing w:before="135" w:after="0" w:line="240" w:lineRule="auto"/>
      <w:ind w:left="343"/>
      <w:jc w:val="both"/>
      <w:outlineLvl w:val="1"/>
    </w:pPr>
    <w:rPr>
      <w:rFonts w:ascii="Tahoma" w:eastAsia="Times New Roman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9C3606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9C360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9C3606"/>
    <w:rPr>
      <w:rFonts w:ascii="Century Gothic" w:eastAsia="Times New Roman" w:hAnsi="Century Gothic" w:cs="Century Gothic"/>
    </w:rPr>
  </w:style>
  <w:style w:type="paragraph" w:styleId="ListeParagraf">
    <w:name w:val="List Paragraph"/>
    <w:basedOn w:val="Normal"/>
    <w:uiPriority w:val="1"/>
    <w:qFormat/>
    <w:rsid w:val="009C3606"/>
    <w:pPr>
      <w:widowControl w:val="0"/>
      <w:autoSpaceDE w:val="0"/>
      <w:autoSpaceDN w:val="0"/>
      <w:adjustRightInd w:val="0"/>
      <w:spacing w:before="202" w:after="0" w:line="240" w:lineRule="auto"/>
      <w:ind w:left="908" w:right="115" w:hanging="284"/>
      <w:jc w:val="both"/>
    </w:pPr>
    <w:rPr>
      <w:rFonts w:ascii="Century Gothic" w:eastAsia="Times New Roman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ppi.org/about-aippi/committees/industrial-designs-and-the-role-of-prior-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ippi.soutron.net/Portal/DownloadImageFile.ashx?fieldValueId=51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ippi.soutron.net/Portal/DownloadImageFile.ashx?fieldValueId=518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ippi.soutron.net/Portal/Default/en-GB/SearchResul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lge.taskara@deris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2024-02-15T09:06:00Z</dcterms:created>
  <dcterms:modified xsi:type="dcterms:W3CDTF">2024-02-15T09:09:00Z</dcterms:modified>
</cp:coreProperties>
</file>