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ECE" w:rsidRPr="000B7ECE" w:rsidRDefault="000B7ECE" w:rsidP="000B7ECE">
      <w:pPr>
        <w:pStyle w:val="GvdeMetni"/>
        <w:kinsoku w:val="0"/>
        <w:overflowPunct w:val="0"/>
        <w:ind w:left="5761"/>
        <w:jc w:val="right"/>
        <w:rPr>
          <w:rFonts w:asciiTheme="minorHAnsi" w:hAnsiTheme="minorHAnsi" w:cstheme="minorHAnsi"/>
          <w:spacing w:val="-2"/>
          <w:position w:val="7"/>
          <w:sz w:val="13"/>
          <w:szCs w:val="13"/>
        </w:rPr>
      </w:pPr>
      <w:r w:rsidRPr="000B7ECE">
        <w:rPr>
          <w:rFonts w:asciiTheme="minorHAnsi" w:hAnsiTheme="minorHAnsi" w:cstheme="minorHAnsi"/>
          <w:spacing w:val="-2"/>
        </w:rPr>
        <w:t>Erman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Vatansever</w:t>
      </w:r>
      <w:r w:rsidRPr="000B7ECE">
        <w:rPr>
          <w:rFonts w:asciiTheme="minorHAnsi" w:hAnsiTheme="minorHAnsi" w:cstheme="minorHAnsi"/>
          <w:spacing w:val="-2"/>
          <w:position w:val="7"/>
          <w:sz w:val="13"/>
          <w:szCs w:val="13"/>
        </w:rPr>
        <w:t>*</w:t>
      </w:r>
    </w:p>
    <w:p w:rsidR="000B7ECE" w:rsidRPr="000B7ECE" w:rsidRDefault="000B7ECE" w:rsidP="000B7ECE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0B7ECE" w:rsidRPr="000B7ECE" w:rsidRDefault="000B7ECE" w:rsidP="000B7ECE">
      <w:pPr>
        <w:pStyle w:val="Balk1"/>
        <w:kinsoku w:val="0"/>
        <w:overflowPunct w:val="0"/>
        <w:spacing w:before="263" w:line="297" w:lineRule="auto"/>
        <w:ind w:left="187" w:right="227"/>
        <w:jc w:val="both"/>
        <w:rPr>
          <w:rFonts w:asciiTheme="minorHAnsi" w:hAnsiTheme="minorHAnsi" w:cstheme="minorHAnsi"/>
          <w:spacing w:val="-12"/>
        </w:rPr>
      </w:pPr>
      <w:bookmarkStart w:id="0" w:name="_GoBack"/>
      <w:r w:rsidRPr="000B7ECE">
        <w:rPr>
          <w:rFonts w:asciiTheme="minorHAnsi" w:hAnsiTheme="minorHAnsi" w:cstheme="minorHAnsi"/>
          <w:w w:val="90"/>
        </w:rPr>
        <w:t>ŞEKİL MARKASI OLARAK TESCİL EDİLEN BİR MARKA TESCİL</w:t>
      </w:r>
      <w:r w:rsidRPr="000B7ECE">
        <w:rPr>
          <w:rFonts w:asciiTheme="minorHAnsi" w:hAnsiTheme="minorHAnsi" w:cstheme="minorHAnsi"/>
          <w:spacing w:val="40"/>
        </w:rPr>
        <w:t xml:space="preserve"> </w:t>
      </w:r>
      <w:r w:rsidRPr="000B7ECE">
        <w:rPr>
          <w:rFonts w:asciiTheme="minorHAnsi" w:hAnsiTheme="minorHAnsi" w:cstheme="minorHAnsi"/>
          <w:w w:val="90"/>
        </w:rPr>
        <w:t xml:space="preserve">KAPSAMINDAKİ MALLAR ÜZERİNDE DESEN OLARAK KULLANILIRSA TEKNİK </w:t>
      </w:r>
      <w:r w:rsidRPr="000B7ECE">
        <w:rPr>
          <w:rFonts w:asciiTheme="minorHAnsi" w:hAnsiTheme="minorHAnsi" w:cstheme="minorHAnsi"/>
          <w:spacing w:val="-12"/>
        </w:rPr>
        <w:t>BİR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12"/>
        </w:rPr>
        <w:t>İŞLEV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12"/>
        </w:rPr>
        <w:t>GÖRMÜŞ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12"/>
        </w:rPr>
        <w:t>OLUR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12"/>
        </w:rPr>
        <w:t>MU?</w:t>
      </w:r>
    </w:p>
    <w:bookmarkEnd w:id="0"/>
    <w:p w:rsidR="000B7ECE" w:rsidRPr="000B7ECE" w:rsidRDefault="000B7ECE" w:rsidP="000B7ECE">
      <w:pPr>
        <w:pStyle w:val="GvdeMetni"/>
        <w:kinsoku w:val="0"/>
        <w:overflowPunct w:val="0"/>
        <w:rPr>
          <w:rFonts w:asciiTheme="minorHAnsi" w:hAnsiTheme="minorHAnsi" w:cstheme="minorHAnsi"/>
          <w:b/>
          <w:bCs/>
          <w:sz w:val="35"/>
          <w:szCs w:val="35"/>
        </w:rPr>
      </w:pPr>
    </w:p>
    <w:p w:rsidR="000B7ECE" w:rsidRPr="000B7ECE" w:rsidRDefault="000B7ECE" w:rsidP="000B7ECE">
      <w:pPr>
        <w:pStyle w:val="Balk3"/>
        <w:kinsoku w:val="0"/>
        <w:overflowPunct w:val="0"/>
        <w:spacing w:line="297" w:lineRule="auto"/>
        <w:ind w:left="187"/>
        <w:rPr>
          <w:rFonts w:asciiTheme="minorHAnsi" w:hAnsiTheme="minorHAnsi" w:cstheme="minorHAnsi"/>
          <w:w w:val="90"/>
          <w:sz w:val="28"/>
          <w:szCs w:val="28"/>
        </w:rPr>
      </w:pPr>
      <w:r w:rsidRPr="000B7ECE">
        <w:rPr>
          <w:rFonts w:asciiTheme="minorHAnsi" w:hAnsiTheme="minorHAnsi" w:cstheme="minorHAnsi"/>
          <w:w w:val="90"/>
          <w:sz w:val="28"/>
          <w:szCs w:val="28"/>
        </w:rPr>
        <w:t>AB ADALET DİVANI C-818/18, C-6/19P SAYILI BİRLEŞTİRİLMİŞ DAVA KARARI İNCELEMESİ</w:t>
      </w:r>
    </w:p>
    <w:p w:rsidR="000B7ECE" w:rsidRPr="000B7ECE" w:rsidRDefault="000B7ECE" w:rsidP="000B7ECE">
      <w:pPr>
        <w:pStyle w:val="GvdeMetni"/>
        <w:kinsoku w:val="0"/>
        <w:overflowPunct w:val="0"/>
        <w:spacing w:before="80" w:line="230" w:lineRule="auto"/>
        <w:ind w:left="187" w:right="113"/>
        <w:jc w:val="both"/>
        <w:rPr>
          <w:rFonts w:asciiTheme="minorHAnsi" w:hAnsiTheme="minorHAnsi" w:cstheme="minorHAnsi"/>
          <w:spacing w:val="-2"/>
        </w:rPr>
      </w:pPr>
      <w:r w:rsidRPr="000B7ECE">
        <w:rPr>
          <w:rFonts w:asciiTheme="minorHAnsi" w:hAnsiTheme="minorHAnsi" w:cstheme="minorHAnsi"/>
          <w:spacing w:val="-8"/>
        </w:rPr>
        <w:t>Avrupa</w:t>
      </w:r>
      <w:r w:rsidRPr="000B7ECE">
        <w:rPr>
          <w:rFonts w:asciiTheme="minorHAnsi" w:hAnsiTheme="minorHAnsi" w:cstheme="minorHAnsi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Adalet</w:t>
      </w:r>
      <w:r w:rsidRPr="000B7ECE">
        <w:rPr>
          <w:rFonts w:asciiTheme="minorHAnsi" w:hAnsiTheme="minorHAnsi" w:cstheme="minorHAnsi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Divanı,</w:t>
      </w:r>
      <w:r w:rsidRPr="000B7ECE">
        <w:rPr>
          <w:rFonts w:asciiTheme="minorHAnsi" w:hAnsiTheme="minorHAnsi" w:cstheme="minorHAnsi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3</w:t>
      </w:r>
      <w:r w:rsidRPr="000B7ECE">
        <w:rPr>
          <w:rFonts w:asciiTheme="minorHAnsi" w:hAnsiTheme="minorHAnsi" w:cstheme="minorHAnsi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Haziran</w:t>
      </w:r>
      <w:r w:rsidRPr="000B7ECE">
        <w:rPr>
          <w:rFonts w:asciiTheme="minorHAnsi" w:hAnsiTheme="minorHAnsi" w:cstheme="minorHAnsi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2021</w:t>
      </w:r>
      <w:r w:rsidRPr="000B7ECE">
        <w:rPr>
          <w:rFonts w:asciiTheme="minorHAnsi" w:hAnsiTheme="minorHAnsi" w:cstheme="minorHAnsi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tarihinde</w:t>
      </w:r>
      <w:r w:rsidRPr="000B7ECE">
        <w:rPr>
          <w:rFonts w:asciiTheme="minorHAnsi" w:hAnsiTheme="minorHAnsi" w:cstheme="minorHAnsi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C-818/18</w:t>
      </w:r>
      <w:r w:rsidRPr="000B7ECE">
        <w:rPr>
          <w:rFonts w:asciiTheme="minorHAnsi" w:hAnsiTheme="minorHAnsi" w:cstheme="minorHAnsi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ve</w:t>
      </w:r>
      <w:r w:rsidRPr="000B7ECE">
        <w:rPr>
          <w:rFonts w:asciiTheme="minorHAnsi" w:hAnsiTheme="minorHAnsi" w:cstheme="minorHAnsi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C-6/19P</w:t>
      </w:r>
      <w:r w:rsidRPr="000B7ECE">
        <w:rPr>
          <w:rFonts w:asciiTheme="minorHAnsi" w:hAnsiTheme="minorHAnsi" w:cstheme="minorHAnsi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sayılı</w:t>
      </w:r>
      <w:r w:rsidRPr="000B7ECE">
        <w:rPr>
          <w:rFonts w:asciiTheme="minorHAnsi" w:hAnsiTheme="minorHAnsi" w:cstheme="minorHAnsi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birleştirilmiş</w:t>
      </w:r>
      <w:r w:rsidRPr="000B7ECE">
        <w:rPr>
          <w:rFonts w:asciiTheme="minorHAnsi" w:hAnsiTheme="minorHAnsi" w:cstheme="minorHAnsi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davalarda</w:t>
      </w:r>
      <w:r w:rsidRPr="000B7EC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pacing w:val="-8"/>
        </w:rPr>
        <w:t>ka</w:t>
      </w:r>
      <w:r w:rsidRPr="000B7ECE">
        <w:rPr>
          <w:rFonts w:asciiTheme="minorHAnsi" w:hAnsiTheme="minorHAnsi" w:cstheme="minorHAnsi"/>
          <w:spacing w:val="-4"/>
        </w:rPr>
        <w:t>rarını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verdi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ve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teknik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bir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sonucu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elde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etmek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için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zorunlu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olan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şekilleri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münhasıran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içeren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 xml:space="preserve">markaların </w:t>
      </w:r>
      <w:r w:rsidRPr="000B7ECE">
        <w:rPr>
          <w:rFonts w:asciiTheme="minorHAnsi" w:hAnsiTheme="minorHAnsi" w:cstheme="minorHAnsi"/>
          <w:spacing w:val="-2"/>
        </w:rPr>
        <w:t>incelenmesine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ilişkin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yeni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yorumlarda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bulundu.</w:t>
      </w:r>
    </w:p>
    <w:p w:rsidR="000B7ECE" w:rsidRPr="000B7ECE" w:rsidRDefault="000B7ECE" w:rsidP="000B7ECE">
      <w:pPr>
        <w:pStyle w:val="GvdeMetni"/>
        <w:kinsoku w:val="0"/>
        <w:overflowPunct w:val="0"/>
        <w:spacing w:before="102" w:line="230" w:lineRule="auto"/>
        <w:ind w:left="187" w:right="111"/>
        <w:jc w:val="both"/>
        <w:rPr>
          <w:rFonts w:asciiTheme="minorHAnsi" w:hAnsiTheme="minorHAnsi" w:cstheme="minorHAnsi"/>
          <w:spacing w:val="-6"/>
        </w:rPr>
      </w:pPr>
      <w:r w:rsidRPr="000B7ECE">
        <w:rPr>
          <w:rFonts w:asciiTheme="minorHAnsi" w:hAnsiTheme="minorHAnsi" w:cstheme="minorHAnsi"/>
          <w:spacing w:val="-8"/>
        </w:rPr>
        <w:t>Bilindiği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üzere,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6769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s.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0B7ECE">
        <w:rPr>
          <w:rFonts w:asciiTheme="minorHAnsi" w:hAnsiTheme="minorHAnsi" w:cstheme="minorHAnsi"/>
          <w:spacing w:val="-8"/>
        </w:rPr>
        <w:t>SMK’nın</w:t>
      </w:r>
      <w:proofErr w:type="spellEnd"/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5/1(e)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bendi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uyarınca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8"/>
        </w:rPr>
        <w:t>“Malın</w:t>
      </w:r>
      <w:r w:rsidRPr="000B7ECE">
        <w:rPr>
          <w:rFonts w:asciiTheme="minorHAnsi" w:hAnsiTheme="minorHAnsi" w:cstheme="minorHAnsi"/>
          <w:i/>
          <w:iCs/>
          <w:spacing w:val="-4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8"/>
        </w:rPr>
        <w:t>doğası</w:t>
      </w:r>
      <w:r w:rsidRPr="000B7ECE">
        <w:rPr>
          <w:rFonts w:asciiTheme="minorHAnsi" w:hAnsiTheme="minorHAnsi" w:cstheme="minorHAnsi"/>
          <w:i/>
          <w:iCs/>
          <w:spacing w:val="-4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8"/>
        </w:rPr>
        <w:t>gereği</w:t>
      </w:r>
      <w:r w:rsidRPr="000B7ECE">
        <w:rPr>
          <w:rFonts w:asciiTheme="minorHAnsi" w:hAnsiTheme="minorHAnsi" w:cstheme="minorHAnsi"/>
          <w:i/>
          <w:iCs/>
          <w:spacing w:val="-4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8"/>
        </w:rPr>
        <w:t>ortaya</w:t>
      </w:r>
      <w:r w:rsidRPr="000B7ECE">
        <w:rPr>
          <w:rFonts w:asciiTheme="minorHAnsi" w:hAnsiTheme="minorHAnsi" w:cstheme="minorHAnsi"/>
          <w:i/>
          <w:iCs/>
          <w:spacing w:val="-4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8"/>
        </w:rPr>
        <w:t>çıkan</w:t>
      </w:r>
      <w:r w:rsidRPr="000B7ECE">
        <w:rPr>
          <w:rFonts w:asciiTheme="minorHAnsi" w:hAnsiTheme="minorHAnsi" w:cstheme="minorHAnsi"/>
          <w:i/>
          <w:iCs/>
          <w:spacing w:val="-4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8"/>
        </w:rPr>
        <w:t>şeklini</w:t>
      </w:r>
      <w:r w:rsidRPr="000B7ECE">
        <w:rPr>
          <w:rFonts w:asciiTheme="minorHAnsi" w:hAnsiTheme="minorHAnsi" w:cstheme="minorHAnsi"/>
          <w:i/>
          <w:iCs/>
          <w:spacing w:val="-4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8"/>
        </w:rPr>
        <w:t>ya</w:t>
      </w:r>
      <w:r w:rsidRPr="000B7ECE">
        <w:rPr>
          <w:rFonts w:asciiTheme="minorHAnsi" w:hAnsiTheme="minorHAnsi" w:cstheme="minorHAnsi"/>
          <w:i/>
          <w:iCs/>
          <w:spacing w:val="-4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8"/>
        </w:rPr>
        <w:t xml:space="preserve">da </w:t>
      </w:r>
      <w:r w:rsidRPr="000B7ECE">
        <w:rPr>
          <w:rFonts w:asciiTheme="minorHAnsi" w:hAnsiTheme="minorHAnsi" w:cstheme="minorHAnsi"/>
          <w:i/>
          <w:iCs/>
          <w:w w:val="90"/>
        </w:rPr>
        <w:t>başka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>bir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>özelliğini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>veya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>teknik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>bir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>sonucu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>elde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>etmek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>için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>zorunlu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>olan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>veya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>mala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>asli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>değerini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>veren</w:t>
      </w:r>
      <w:r w:rsidRPr="000B7ECE">
        <w:rPr>
          <w:rFonts w:asciiTheme="minorHAnsi" w:hAnsiTheme="minorHAnsi" w:cstheme="minorHAnsi"/>
          <w:i/>
          <w:iCs/>
          <w:spacing w:val="-9"/>
          <w:w w:val="90"/>
        </w:rPr>
        <w:t xml:space="preserve"> </w:t>
      </w:r>
      <w:r w:rsidRPr="000B7ECE">
        <w:rPr>
          <w:rFonts w:asciiTheme="minorHAnsi" w:hAnsiTheme="minorHAnsi" w:cstheme="minorHAnsi"/>
          <w:i/>
          <w:iCs/>
          <w:w w:val="90"/>
        </w:rPr>
        <w:t xml:space="preserve">şeklî </w:t>
      </w:r>
      <w:r w:rsidRPr="000B7ECE">
        <w:rPr>
          <w:rFonts w:asciiTheme="minorHAnsi" w:hAnsiTheme="minorHAnsi" w:cstheme="minorHAnsi"/>
          <w:i/>
          <w:iCs/>
          <w:spacing w:val="-6"/>
        </w:rPr>
        <w:t>ya da</w:t>
      </w:r>
      <w:r w:rsidRPr="000B7ECE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6"/>
        </w:rPr>
        <w:t>başka bir</w:t>
      </w:r>
      <w:r w:rsidRPr="000B7ECE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6"/>
        </w:rPr>
        <w:t>özelliğini</w:t>
      </w:r>
      <w:r w:rsidRPr="000B7ECE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6"/>
        </w:rPr>
        <w:t>münhasıran içeren</w:t>
      </w:r>
      <w:r w:rsidRPr="000B7ECE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6"/>
        </w:rPr>
        <w:t>işaretler marka</w:t>
      </w:r>
      <w:r w:rsidRPr="000B7ECE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6"/>
        </w:rPr>
        <w:t>olarak</w:t>
      </w:r>
      <w:r w:rsidRPr="000B7ECE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6"/>
        </w:rPr>
        <w:t>tescil edilemez.”</w:t>
      </w:r>
      <w:r w:rsidRPr="000B7ECE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Bir işaretin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6769</w:t>
      </w:r>
    </w:p>
    <w:p w:rsidR="000B7ECE" w:rsidRPr="000B7ECE" w:rsidRDefault="000B7ECE" w:rsidP="000B7ECE">
      <w:pPr>
        <w:pStyle w:val="GvdeMetni"/>
        <w:kinsoku w:val="0"/>
        <w:overflowPunct w:val="0"/>
        <w:spacing w:before="3" w:line="230" w:lineRule="auto"/>
        <w:ind w:left="187" w:right="111"/>
        <w:jc w:val="both"/>
        <w:rPr>
          <w:rFonts w:asciiTheme="minorHAnsi" w:hAnsiTheme="minorHAnsi" w:cstheme="minorHAnsi"/>
          <w:spacing w:val="-2"/>
        </w:rPr>
      </w:pPr>
      <w:proofErr w:type="gramStart"/>
      <w:r w:rsidRPr="000B7ECE">
        <w:rPr>
          <w:rFonts w:asciiTheme="minorHAnsi" w:hAnsiTheme="minorHAnsi" w:cstheme="minorHAnsi"/>
          <w:spacing w:val="-6"/>
        </w:rPr>
        <w:t>s</w:t>
      </w:r>
      <w:proofErr w:type="gramEnd"/>
      <w:r w:rsidRPr="000B7ECE">
        <w:rPr>
          <w:rFonts w:asciiTheme="minorHAnsi" w:hAnsiTheme="minorHAnsi" w:cstheme="minorHAnsi"/>
          <w:spacing w:val="-6"/>
        </w:rPr>
        <w:t>.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proofErr w:type="spellStart"/>
      <w:r w:rsidRPr="000B7ECE">
        <w:rPr>
          <w:rFonts w:asciiTheme="minorHAnsi" w:hAnsiTheme="minorHAnsi" w:cstheme="minorHAnsi"/>
          <w:spacing w:val="-6"/>
        </w:rPr>
        <w:t>SMK’nın</w:t>
      </w:r>
      <w:proofErr w:type="spellEnd"/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5/1(e)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bendi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kapsamında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redde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konu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olabilmesi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için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gerekli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olan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6"/>
        </w:rPr>
        <w:t>“teknik</w:t>
      </w:r>
      <w:r w:rsidRPr="000B7ECE">
        <w:rPr>
          <w:rFonts w:asciiTheme="minorHAnsi" w:hAnsiTheme="minorHAnsi" w:cstheme="minorHAnsi"/>
          <w:i/>
          <w:iCs/>
          <w:spacing w:val="-9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6"/>
        </w:rPr>
        <w:t>bir</w:t>
      </w:r>
      <w:r w:rsidRPr="000B7ECE">
        <w:rPr>
          <w:rFonts w:asciiTheme="minorHAnsi" w:hAnsiTheme="minorHAnsi" w:cstheme="minorHAnsi"/>
          <w:i/>
          <w:iCs/>
          <w:spacing w:val="-9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6"/>
        </w:rPr>
        <w:t>sonucu</w:t>
      </w:r>
      <w:r w:rsidRPr="000B7ECE">
        <w:rPr>
          <w:rFonts w:asciiTheme="minorHAnsi" w:hAnsiTheme="minorHAnsi" w:cstheme="minorHAnsi"/>
          <w:i/>
          <w:iCs/>
          <w:spacing w:val="-9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6"/>
        </w:rPr>
        <w:t xml:space="preserve">elde </w:t>
      </w:r>
      <w:r w:rsidRPr="000B7ECE">
        <w:rPr>
          <w:rFonts w:asciiTheme="minorHAnsi" w:hAnsiTheme="minorHAnsi" w:cstheme="minorHAnsi"/>
          <w:i/>
          <w:iCs/>
          <w:w w:val="90"/>
        </w:rPr>
        <w:t xml:space="preserve">etmek için zorunlu şekil” </w:t>
      </w:r>
      <w:r w:rsidRPr="000B7ECE">
        <w:rPr>
          <w:rFonts w:asciiTheme="minorHAnsi" w:hAnsiTheme="minorHAnsi" w:cstheme="minorHAnsi"/>
          <w:w w:val="90"/>
        </w:rPr>
        <w:t xml:space="preserve">değerlendirmesinde şekil tanımından kast edilen sadece üç boyutlu markalar </w:t>
      </w:r>
      <w:r w:rsidRPr="000B7ECE">
        <w:rPr>
          <w:rFonts w:asciiTheme="minorHAnsi" w:hAnsiTheme="minorHAnsi" w:cstheme="minorHAnsi"/>
          <w:spacing w:val="-2"/>
        </w:rPr>
        <w:t>değildir;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aynı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zamanda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ürünün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kendi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formundan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oluşan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şekiller</w:t>
      </w:r>
      <w:r w:rsidRPr="000B7ECE">
        <w:rPr>
          <w:rFonts w:asciiTheme="minorHAnsi" w:hAnsiTheme="minorHAnsi" w:cstheme="minorHAnsi"/>
          <w:spacing w:val="-2"/>
          <w:position w:val="7"/>
          <w:sz w:val="13"/>
          <w:szCs w:val="13"/>
        </w:rPr>
        <w:t>1</w:t>
      </w:r>
      <w:r w:rsidRPr="000B7ECE">
        <w:rPr>
          <w:rFonts w:asciiTheme="minorHAnsi" w:hAnsiTheme="minorHAnsi" w:cstheme="minorHAnsi"/>
          <w:spacing w:val="-2"/>
        </w:rPr>
        <w:t>,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iki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boyutlu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şekiller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ve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üç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boyutlu şekillerin</w:t>
      </w:r>
      <w:r w:rsidRPr="000B7ECE">
        <w:rPr>
          <w:rFonts w:asciiTheme="minorHAnsi" w:hAnsiTheme="minorHAnsi" w:cstheme="minorHAnsi"/>
          <w:spacing w:val="-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iki</w:t>
      </w:r>
      <w:r w:rsidRPr="000B7ECE">
        <w:rPr>
          <w:rFonts w:asciiTheme="minorHAnsi" w:hAnsiTheme="minorHAnsi" w:cstheme="minorHAnsi"/>
          <w:spacing w:val="-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boyutlu</w:t>
      </w:r>
      <w:r w:rsidRPr="000B7ECE">
        <w:rPr>
          <w:rFonts w:asciiTheme="minorHAnsi" w:hAnsiTheme="minorHAnsi" w:cstheme="minorHAnsi"/>
          <w:spacing w:val="-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gösterimleri</w:t>
      </w:r>
      <w:r w:rsidRPr="000B7ECE">
        <w:rPr>
          <w:rFonts w:asciiTheme="minorHAnsi" w:hAnsiTheme="minorHAnsi" w:cstheme="minorHAnsi"/>
          <w:spacing w:val="-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de</w:t>
      </w:r>
      <w:r w:rsidRPr="000B7ECE">
        <w:rPr>
          <w:rFonts w:asciiTheme="minorHAnsi" w:hAnsiTheme="minorHAnsi" w:cstheme="minorHAnsi"/>
          <w:spacing w:val="-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5/1(e)</w:t>
      </w:r>
      <w:r w:rsidRPr="000B7ECE">
        <w:rPr>
          <w:rFonts w:asciiTheme="minorHAnsi" w:hAnsiTheme="minorHAnsi" w:cstheme="minorHAnsi"/>
          <w:spacing w:val="-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bendi</w:t>
      </w:r>
      <w:r w:rsidRPr="000B7ECE">
        <w:rPr>
          <w:rFonts w:asciiTheme="minorHAnsi" w:hAnsiTheme="minorHAnsi" w:cstheme="minorHAnsi"/>
          <w:spacing w:val="-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anlamında</w:t>
      </w:r>
      <w:r w:rsidRPr="000B7ECE">
        <w:rPr>
          <w:rFonts w:asciiTheme="minorHAnsi" w:hAnsiTheme="minorHAnsi" w:cstheme="minorHAnsi"/>
          <w:spacing w:val="-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şekil</w:t>
      </w:r>
      <w:r w:rsidRPr="000B7ECE">
        <w:rPr>
          <w:rFonts w:asciiTheme="minorHAnsi" w:hAnsiTheme="minorHAnsi" w:cstheme="minorHAnsi"/>
          <w:spacing w:val="-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kabul</w:t>
      </w:r>
      <w:r w:rsidRPr="000B7ECE">
        <w:rPr>
          <w:rFonts w:asciiTheme="minorHAnsi" w:hAnsiTheme="minorHAnsi" w:cstheme="minorHAnsi"/>
          <w:spacing w:val="-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edilebilmektedir.</w:t>
      </w:r>
      <w:r w:rsidRPr="000B7ECE">
        <w:rPr>
          <w:rFonts w:asciiTheme="minorHAnsi" w:hAnsiTheme="minorHAnsi" w:cstheme="minorHAnsi"/>
          <w:spacing w:val="-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 xml:space="preserve">Avrupa </w:t>
      </w:r>
      <w:r w:rsidRPr="000B7ECE">
        <w:rPr>
          <w:rFonts w:asciiTheme="minorHAnsi" w:hAnsiTheme="minorHAnsi" w:cstheme="minorHAnsi"/>
          <w:spacing w:val="-6"/>
        </w:rPr>
        <w:t>Adalet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Divanı’nın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son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kararı,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şekil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markasının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teknik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bir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sonucu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elde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etmek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için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gerekli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olup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 xml:space="preserve">olmadığı </w:t>
      </w:r>
      <w:r w:rsidRPr="000B7ECE">
        <w:rPr>
          <w:rFonts w:asciiTheme="minorHAnsi" w:hAnsiTheme="minorHAnsi" w:cstheme="minorHAnsi"/>
          <w:spacing w:val="-4"/>
        </w:rPr>
        <w:t>konusunda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tarafların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ileri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sürdükleri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proofErr w:type="gramStart"/>
      <w:r w:rsidRPr="000B7ECE">
        <w:rPr>
          <w:rFonts w:asciiTheme="minorHAnsi" w:hAnsiTheme="minorHAnsi" w:cstheme="minorHAnsi"/>
          <w:spacing w:val="-4"/>
        </w:rPr>
        <w:t>argümanların</w:t>
      </w:r>
      <w:proofErr w:type="gramEnd"/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incelenmesi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ve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daha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da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önemlisi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tescil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edilen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 xml:space="preserve">bir </w:t>
      </w:r>
      <w:r w:rsidRPr="000B7ECE">
        <w:rPr>
          <w:rFonts w:asciiTheme="minorHAnsi" w:hAnsiTheme="minorHAnsi" w:cstheme="minorHAnsi"/>
          <w:spacing w:val="-6"/>
        </w:rPr>
        <w:t>şekil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markasının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tescile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konu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mallar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üzerine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tatbik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edilmesiyle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ortaya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çıkan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netice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>üzerinden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6"/>
        </w:rPr>
        <w:t xml:space="preserve">yapılan </w:t>
      </w:r>
      <w:r w:rsidRPr="000B7ECE">
        <w:rPr>
          <w:rFonts w:asciiTheme="minorHAnsi" w:hAnsiTheme="minorHAnsi" w:cstheme="minorHAnsi"/>
          <w:spacing w:val="-2"/>
        </w:rPr>
        <w:t>teknik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bir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işlev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değerlendirmesine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konu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olması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nedeniyle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bu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yazı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>
        <w:rPr>
          <w:rFonts w:asciiTheme="minorHAnsi" w:hAnsiTheme="minorHAnsi" w:cstheme="minorHAnsi"/>
          <w:spacing w:val="-2"/>
        </w:rPr>
        <w:t>kapsamında ele alınacaktır.</w:t>
      </w:r>
    </w:p>
    <w:p w:rsidR="000B7ECE" w:rsidRPr="000B7ECE" w:rsidRDefault="000B7ECE" w:rsidP="000B7ECE">
      <w:pPr>
        <w:pStyle w:val="GvdeMetni"/>
        <w:kinsoku w:val="0"/>
        <w:overflowPunct w:val="0"/>
        <w:spacing w:line="269" w:lineRule="exact"/>
        <w:ind w:left="187"/>
        <w:jc w:val="both"/>
        <w:rPr>
          <w:rFonts w:asciiTheme="minorHAnsi" w:hAnsiTheme="minorHAnsi" w:cstheme="minorHAnsi"/>
          <w:spacing w:val="-2"/>
          <w:w w:val="90"/>
        </w:rPr>
      </w:pPr>
      <w:r w:rsidRPr="000B7ECE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4665053" wp14:editId="24245A5E">
                <wp:simplePos x="0" y="0"/>
                <wp:positionH relativeFrom="page">
                  <wp:posOffset>5727065</wp:posOffset>
                </wp:positionH>
                <wp:positionV relativeFrom="paragraph">
                  <wp:posOffset>19685</wp:posOffset>
                </wp:positionV>
                <wp:extent cx="1282700" cy="1765300"/>
                <wp:effectExtent l="2540" t="0" r="635" b="0"/>
                <wp:wrapNone/>
                <wp:docPr id="3" name="Dikdörtg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0" cy="176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7ECE" w:rsidRDefault="000B7ECE" w:rsidP="000B7ECE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7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 w:eastAsia="en-US"/>
                              </w:rPr>
                              <w:drawing>
                                <wp:inline distT="0" distB="0" distL="0" distR="0" wp14:anchorId="46362AC1" wp14:editId="271306D5">
                                  <wp:extent cx="1276350" cy="1752600"/>
                                  <wp:effectExtent l="0" t="0" r="0" b="0"/>
                                  <wp:docPr id="15" name="Resim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350" cy="1752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B7ECE" w:rsidRDefault="000B7ECE" w:rsidP="000B7EC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665053" id="Dikdörtgen 3" o:spid="_x0000_s1026" style="position:absolute;left:0;text-align:left;margin-left:450.95pt;margin-top:1.55pt;width:101pt;height:13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" o:allowincell="f" filled="f" stroked="f">
                <v:textbox inset="0,0,0,0">
                  <w:txbxContent>
                    <w:p w:rsidR="000B7ECE" w:rsidRDefault="000B7ECE" w:rsidP="000B7ECE">
                      <w:pPr>
                        <w:widowControl/>
                        <w:autoSpaceDE/>
                        <w:autoSpaceDN/>
                        <w:adjustRightInd/>
                        <w:spacing w:line="27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 w:eastAsia="en-US"/>
                        </w:rPr>
                        <w:drawing>
                          <wp:inline distT="0" distB="0" distL="0" distR="0" wp14:anchorId="46362AC1" wp14:editId="271306D5">
                            <wp:extent cx="1276350" cy="1752600"/>
                            <wp:effectExtent l="0" t="0" r="0" b="0"/>
                            <wp:docPr id="15" name="Resim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350" cy="1752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B7ECE" w:rsidRDefault="000B7ECE" w:rsidP="000B7EC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0B7ECE" w:rsidRPr="000B7ECE" w:rsidRDefault="000B7ECE" w:rsidP="000B7ECE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31"/>
          <w:szCs w:val="31"/>
        </w:rPr>
      </w:pPr>
    </w:p>
    <w:p w:rsidR="000B7ECE" w:rsidRPr="000B7ECE" w:rsidRDefault="000B7ECE" w:rsidP="000B7ECE">
      <w:pPr>
        <w:pStyle w:val="Balk3"/>
        <w:kinsoku w:val="0"/>
        <w:overflowPunct w:val="0"/>
        <w:ind w:left="187"/>
        <w:rPr>
          <w:rFonts w:asciiTheme="minorHAnsi" w:hAnsiTheme="minorHAnsi" w:cstheme="minorHAnsi"/>
          <w:spacing w:val="-2"/>
          <w:w w:val="95"/>
        </w:rPr>
      </w:pPr>
      <w:r w:rsidRPr="000B7ECE">
        <w:rPr>
          <w:rFonts w:asciiTheme="minorHAnsi" w:hAnsiTheme="minorHAnsi" w:cstheme="minorHAnsi"/>
          <w:w w:val="85"/>
        </w:rPr>
        <w:t>DAVANIN</w:t>
      </w:r>
      <w:r w:rsidRPr="000B7ECE">
        <w:rPr>
          <w:rFonts w:asciiTheme="minorHAnsi" w:hAnsiTheme="minorHAnsi" w:cstheme="minorHAnsi"/>
          <w:spacing w:val="21"/>
        </w:rPr>
        <w:t xml:space="preserve"> </w:t>
      </w:r>
      <w:r w:rsidRPr="000B7ECE">
        <w:rPr>
          <w:rFonts w:asciiTheme="minorHAnsi" w:hAnsiTheme="minorHAnsi" w:cstheme="minorHAnsi"/>
          <w:spacing w:val="-2"/>
          <w:w w:val="95"/>
        </w:rPr>
        <w:t>ÖZETİ</w:t>
      </w:r>
    </w:p>
    <w:p w:rsidR="000B7ECE" w:rsidRDefault="000B7ECE" w:rsidP="000B7ECE">
      <w:pPr>
        <w:pStyle w:val="GvdeMetni"/>
        <w:kinsoku w:val="0"/>
        <w:overflowPunct w:val="0"/>
        <w:spacing w:before="93" w:line="230" w:lineRule="auto"/>
        <w:ind w:left="187" w:right="3082"/>
        <w:jc w:val="both"/>
        <w:rPr>
          <w:rFonts w:asciiTheme="minorHAnsi" w:hAnsiTheme="minorHAnsi" w:cstheme="minorHAnsi"/>
        </w:rPr>
      </w:pPr>
      <w:proofErr w:type="gramStart"/>
      <w:r w:rsidRPr="000B7ECE">
        <w:rPr>
          <w:rFonts w:asciiTheme="minorHAnsi" w:hAnsiTheme="minorHAnsi" w:cstheme="minorHAnsi"/>
        </w:rPr>
        <w:t>Pirelli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0B7ECE">
        <w:rPr>
          <w:rFonts w:asciiTheme="minorHAnsi" w:hAnsiTheme="minorHAnsi" w:cstheme="minorHAnsi"/>
        </w:rPr>
        <w:t>Tyre</w:t>
      </w:r>
      <w:proofErr w:type="spellEnd"/>
      <w:r w:rsidRPr="000B7ECE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0B7ECE">
        <w:rPr>
          <w:rFonts w:asciiTheme="minorHAnsi" w:hAnsiTheme="minorHAnsi" w:cstheme="minorHAnsi"/>
        </w:rPr>
        <w:t>SpA</w:t>
      </w:r>
      <w:proofErr w:type="spellEnd"/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(Yazının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devamında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“Pirelli”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olarak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anılacaktır.),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 xml:space="preserve">23 </w:t>
      </w:r>
      <w:r w:rsidRPr="000B7ECE">
        <w:rPr>
          <w:rFonts w:asciiTheme="minorHAnsi" w:hAnsiTheme="minorHAnsi" w:cstheme="minorHAnsi"/>
          <w:spacing w:val="-6"/>
        </w:rPr>
        <w:t xml:space="preserve">Temmuz 2001 tarihinde yukarıda görseli bulunan şekil markası için 12. </w:t>
      </w:r>
      <w:r w:rsidRPr="000B7ECE">
        <w:rPr>
          <w:rFonts w:asciiTheme="minorHAnsi" w:hAnsiTheme="minorHAnsi" w:cstheme="minorHAnsi"/>
          <w:w w:val="90"/>
        </w:rPr>
        <w:t xml:space="preserve">Sınıfta yer alan </w:t>
      </w:r>
      <w:r w:rsidRPr="000B7ECE">
        <w:rPr>
          <w:rFonts w:asciiTheme="minorHAnsi" w:hAnsiTheme="minorHAnsi" w:cstheme="minorHAnsi"/>
          <w:i/>
          <w:iCs/>
          <w:w w:val="90"/>
        </w:rPr>
        <w:t>“do</w:t>
      </w:r>
      <w:r>
        <w:rPr>
          <w:rFonts w:asciiTheme="minorHAnsi" w:hAnsiTheme="minorHAnsi" w:cstheme="minorHAnsi"/>
          <w:i/>
          <w:iCs/>
          <w:w w:val="90"/>
        </w:rPr>
        <w:t xml:space="preserve">lgu lastikler, </w:t>
      </w:r>
      <w:proofErr w:type="spellStart"/>
      <w:r>
        <w:rPr>
          <w:rFonts w:asciiTheme="minorHAnsi" w:hAnsiTheme="minorHAnsi" w:cstheme="minorHAnsi"/>
          <w:i/>
          <w:iCs/>
          <w:w w:val="90"/>
        </w:rPr>
        <w:t>pnömatik</w:t>
      </w:r>
      <w:proofErr w:type="spellEnd"/>
      <w:r>
        <w:rPr>
          <w:rFonts w:asciiTheme="minorHAnsi" w:hAnsiTheme="minorHAnsi" w:cstheme="minorHAnsi"/>
          <w:i/>
          <w:iCs/>
          <w:w w:val="90"/>
        </w:rPr>
        <w:t xml:space="preserve"> ve yarı </w:t>
      </w:r>
      <w:proofErr w:type="spellStart"/>
      <w:r w:rsidRPr="000B7ECE">
        <w:rPr>
          <w:rFonts w:asciiTheme="minorHAnsi" w:hAnsiTheme="minorHAnsi" w:cstheme="minorHAnsi"/>
          <w:i/>
          <w:iCs/>
          <w:w w:val="90"/>
        </w:rPr>
        <w:t>pnömatik</w:t>
      </w:r>
      <w:proofErr w:type="spellEnd"/>
      <w:r w:rsidRPr="000B7ECE">
        <w:rPr>
          <w:rFonts w:asciiTheme="minorHAnsi" w:hAnsiTheme="minorHAnsi" w:cstheme="minorHAnsi"/>
          <w:i/>
          <w:iCs/>
          <w:w w:val="90"/>
        </w:rPr>
        <w:t xml:space="preserve"> lastikler, her türlü araç tekerlekleri için jantlar ve kapaklar, her türlü araç tekerlekleri, </w:t>
      </w:r>
      <w:r w:rsidRPr="000B7ECE">
        <w:rPr>
          <w:rFonts w:asciiTheme="minorHAnsi" w:hAnsiTheme="minorHAnsi" w:cstheme="minorHAnsi"/>
          <w:i/>
          <w:iCs/>
          <w:spacing w:val="-4"/>
        </w:rPr>
        <w:t>iç</w:t>
      </w:r>
      <w:r w:rsidRPr="000B7ECE">
        <w:rPr>
          <w:rFonts w:asciiTheme="minorHAnsi" w:hAnsiTheme="minorHAnsi" w:cstheme="minorHAnsi"/>
          <w:i/>
          <w:iCs/>
          <w:spacing w:val="-12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lastikler,</w:t>
      </w:r>
      <w:r w:rsidRPr="000B7ECE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jantlar,</w:t>
      </w:r>
      <w:r w:rsidRPr="000B7ECE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her</w:t>
      </w:r>
      <w:r w:rsidRPr="000B7ECE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türlü</w:t>
      </w:r>
      <w:r w:rsidRPr="000B7ECE">
        <w:rPr>
          <w:rFonts w:asciiTheme="minorHAnsi" w:hAnsiTheme="minorHAnsi" w:cstheme="minorHAnsi"/>
          <w:i/>
          <w:iCs/>
          <w:spacing w:val="-12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araç</w:t>
      </w:r>
      <w:r w:rsidRPr="000B7ECE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tekerlekleri</w:t>
      </w:r>
      <w:r w:rsidRPr="000B7ECE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için</w:t>
      </w:r>
      <w:r w:rsidRPr="000B7ECE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parçalar,</w:t>
      </w:r>
      <w:r w:rsidRPr="000B7ECE">
        <w:rPr>
          <w:rFonts w:asciiTheme="minorHAnsi" w:hAnsiTheme="minorHAnsi" w:cstheme="minorHAnsi"/>
          <w:i/>
          <w:iCs/>
          <w:spacing w:val="-12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 xml:space="preserve">aksesuarlar </w:t>
      </w:r>
      <w:r w:rsidRPr="000B7ECE">
        <w:rPr>
          <w:rFonts w:asciiTheme="minorHAnsi" w:hAnsiTheme="minorHAnsi" w:cstheme="minorHAnsi"/>
          <w:i/>
          <w:iCs/>
          <w:spacing w:val="-8"/>
        </w:rPr>
        <w:t>ve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8"/>
        </w:rPr>
        <w:t>yedek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8"/>
        </w:rPr>
        <w:t>parçalar”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malları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için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başvuru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yapar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ve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başvuru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>2002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8"/>
        </w:rPr>
        <w:t xml:space="preserve">yılında </w:t>
      </w:r>
      <w:r w:rsidRPr="000B7ECE">
        <w:rPr>
          <w:rFonts w:asciiTheme="minorHAnsi" w:hAnsiTheme="minorHAnsi" w:cstheme="minorHAnsi"/>
        </w:rPr>
        <w:t>2319176 sayı ile AB markası olarak tescil edilir.</w:t>
      </w:r>
      <w:proofErr w:type="gramEnd"/>
    </w:p>
    <w:p w:rsidR="000B7ECE" w:rsidRDefault="000B7ECE" w:rsidP="000B7ECE">
      <w:pPr>
        <w:pStyle w:val="GvdeMetni"/>
        <w:kinsoku w:val="0"/>
        <w:overflowPunct w:val="0"/>
        <w:spacing w:before="93" w:line="230" w:lineRule="auto"/>
        <w:ind w:left="187" w:right="3082"/>
        <w:jc w:val="both"/>
        <w:rPr>
          <w:rFonts w:asciiTheme="minorHAnsi" w:hAnsiTheme="minorHAnsi" w:cstheme="minorHAnsi"/>
        </w:rPr>
      </w:pPr>
    </w:p>
    <w:p w:rsidR="000B7ECE" w:rsidRPr="000B7ECE" w:rsidRDefault="000B7ECE" w:rsidP="000B7ECE">
      <w:pPr>
        <w:pStyle w:val="GvdeMetni"/>
        <w:kinsoku w:val="0"/>
        <w:overflowPunct w:val="0"/>
        <w:spacing w:before="104" w:line="230" w:lineRule="auto"/>
        <w:ind w:left="181" w:right="114"/>
        <w:jc w:val="both"/>
        <w:rPr>
          <w:rFonts w:asciiTheme="minorHAnsi" w:hAnsiTheme="minorHAnsi" w:cstheme="minorHAnsi"/>
        </w:rPr>
      </w:pPr>
      <w:r w:rsidRPr="000B7ECE">
        <w:rPr>
          <w:rFonts w:asciiTheme="minorHAnsi" w:hAnsiTheme="minorHAnsi" w:cstheme="minorHAnsi"/>
        </w:rPr>
        <w:t>2012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>yılında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>Yokohama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0B7ECE">
        <w:rPr>
          <w:rFonts w:asciiTheme="minorHAnsi" w:hAnsiTheme="minorHAnsi" w:cstheme="minorHAnsi"/>
        </w:rPr>
        <w:t>Rubber</w:t>
      </w:r>
      <w:proofErr w:type="spellEnd"/>
      <w:r w:rsidRPr="000B7ECE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0B7ECE">
        <w:rPr>
          <w:rFonts w:asciiTheme="minorHAnsi" w:hAnsiTheme="minorHAnsi" w:cstheme="minorHAnsi"/>
        </w:rPr>
        <w:t>Co</w:t>
      </w:r>
      <w:proofErr w:type="spellEnd"/>
      <w:r w:rsidRPr="000B7ECE">
        <w:rPr>
          <w:rFonts w:asciiTheme="minorHAnsi" w:hAnsiTheme="minorHAnsi" w:cstheme="minorHAnsi"/>
        </w:rPr>
        <w:t>.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proofErr w:type="gramStart"/>
      <w:r w:rsidRPr="000B7ECE">
        <w:rPr>
          <w:rFonts w:asciiTheme="minorHAnsi" w:hAnsiTheme="minorHAnsi" w:cstheme="minorHAnsi"/>
        </w:rPr>
        <w:t>Ltd.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>(Yazının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>devamında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>“Yokohama”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>olarak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 xml:space="preserve">anılacaktır.), </w:t>
      </w:r>
      <w:r w:rsidRPr="000B7ECE">
        <w:rPr>
          <w:rFonts w:asciiTheme="minorHAnsi" w:hAnsiTheme="minorHAnsi" w:cstheme="minorHAnsi"/>
          <w:spacing w:val="-2"/>
        </w:rPr>
        <w:t>2319176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sayı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ile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tescilli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işaretin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“dolgu</w:t>
      </w:r>
      <w:r w:rsidRPr="000B7ECE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lastikler,</w:t>
      </w:r>
      <w:r w:rsidRPr="000B7ECE">
        <w:rPr>
          <w:rFonts w:asciiTheme="minorHAnsi" w:hAnsiTheme="minorHAnsi" w:cstheme="minorHAnsi"/>
          <w:i/>
          <w:iCs/>
          <w:spacing w:val="-5"/>
        </w:rPr>
        <w:t xml:space="preserve"> </w:t>
      </w:r>
      <w:proofErr w:type="spellStart"/>
      <w:r w:rsidRPr="000B7ECE">
        <w:rPr>
          <w:rFonts w:asciiTheme="minorHAnsi" w:hAnsiTheme="minorHAnsi" w:cstheme="minorHAnsi"/>
          <w:i/>
          <w:iCs/>
          <w:spacing w:val="-2"/>
        </w:rPr>
        <w:t>pnömatik</w:t>
      </w:r>
      <w:proofErr w:type="spellEnd"/>
      <w:r w:rsidRPr="000B7ECE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ve</w:t>
      </w:r>
      <w:r w:rsidRPr="000B7ECE">
        <w:rPr>
          <w:rFonts w:asciiTheme="minorHAnsi" w:hAnsiTheme="minorHAnsi" w:cstheme="minorHAnsi"/>
          <w:i/>
          <w:iCs/>
          <w:spacing w:val="-5"/>
        </w:rPr>
        <w:t xml:space="preserve"> </w:t>
      </w:r>
      <w:r>
        <w:rPr>
          <w:rFonts w:asciiTheme="minorHAnsi" w:hAnsiTheme="minorHAnsi" w:cstheme="minorHAnsi"/>
          <w:i/>
          <w:iCs/>
          <w:spacing w:val="-2"/>
        </w:rPr>
        <w:t xml:space="preserve">yarı </w:t>
      </w:r>
      <w:proofErr w:type="spellStart"/>
      <w:r w:rsidRPr="000B7ECE">
        <w:rPr>
          <w:rFonts w:asciiTheme="minorHAnsi" w:hAnsiTheme="minorHAnsi" w:cstheme="minorHAnsi"/>
          <w:i/>
          <w:iCs/>
          <w:spacing w:val="-2"/>
        </w:rPr>
        <w:t>pnömatik</w:t>
      </w:r>
      <w:proofErr w:type="spellEnd"/>
      <w:r w:rsidRPr="000B7ECE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lastikler,</w:t>
      </w:r>
      <w:r w:rsidRPr="000B7ECE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her</w:t>
      </w:r>
      <w:r w:rsidRPr="000B7ECE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türlü</w:t>
      </w:r>
      <w:r w:rsidRPr="000B7ECE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 xml:space="preserve">araç </w:t>
      </w:r>
      <w:r w:rsidRPr="000B7ECE">
        <w:rPr>
          <w:rFonts w:asciiTheme="minorHAnsi" w:hAnsiTheme="minorHAnsi" w:cstheme="minorHAnsi"/>
          <w:i/>
          <w:iCs/>
        </w:rPr>
        <w:t>tekerlekleri”</w:t>
      </w:r>
      <w:r w:rsidRPr="000B7ECE">
        <w:rPr>
          <w:rFonts w:asciiTheme="minorHAnsi" w:hAnsiTheme="minorHAnsi" w:cstheme="minorHAnsi"/>
          <w:i/>
          <w:iCs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malları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için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ayırt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edici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nitelikten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yoksun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bir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şekil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olduğu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(40/94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sayılı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proofErr w:type="spellStart"/>
      <w:r w:rsidRPr="000B7ECE">
        <w:rPr>
          <w:rFonts w:asciiTheme="minorHAnsi" w:hAnsiTheme="minorHAnsi" w:cstheme="minorHAnsi"/>
        </w:rPr>
        <w:t>Tüzük‘ün</w:t>
      </w:r>
      <w:proofErr w:type="spellEnd"/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7/1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(b) bendi)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veya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tescilin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münhasıran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teknik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sonucu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elde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etmek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için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zorunlu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şekilden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oluştuğu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(40/94 sayılı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0B7ECE">
        <w:rPr>
          <w:rFonts w:asciiTheme="minorHAnsi" w:hAnsiTheme="minorHAnsi" w:cstheme="minorHAnsi"/>
        </w:rPr>
        <w:t>Tüzük’ün</w:t>
      </w:r>
      <w:proofErr w:type="spellEnd"/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7/1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(e)-(ii)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bendi)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gerekçeleri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ile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hükümsüzlüğüne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karar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verilmesini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talep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 xml:space="preserve">etmiştir. </w:t>
      </w:r>
      <w:proofErr w:type="gramEnd"/>
      <w:r w:rsidRPr="000B7ECE">
        <w:rPr>
          <w:rFonts w:asciiTheme="minorHAnsi" w:hAnsiTheme="minorHAnsi" w:cstheme="minorHAnsi"/>
          <w:spacing w:val="-2"/>
        </w:rPr>
        <w:t>EUIPO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İptal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Birimi,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“dolgu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lastikler,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proofErr w:type="spellStart"/>
      <w:r w:rsidRPr="000B7ECE">
        <w:rPr>
          <w:rFonts w:asciiTheme="minorHAnsi" w:hAnsiTheme="minorHAnsi" w:cstheme="minorHAnsi"/>
          <w:i/>
          <w:iCs/>
          <w:spacing w:val="-2"/>
        </w:rPr>
        <w:t>pnömatik</w:t>
      </w:r>
      <w:proofErr w:type="spellEnd"/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ve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>
        <w:rPr>
          <w:rFonts w:asciiTheme="minorHAnsi" w:hAnsiTheme="minorHAnsi" w:cstheme="minorHAnsi"/>
          <w:i/>
          <w:iCs/>
          <w:spacing w:val="-2"/>
        </w:rPr>
        <w:t xml:space="preserve">yarı </w:t>
      </w:r>
      <w:proofErr w:type="spellStart"/>
      <w:r w:rsidRPr="000B7ECE">
        <w:rPr>
          <w:rFonts w:asciiTheme="minorHAnsi" w:hAnsiTheme="minorHAnsi" w:cstheme="minorHAnsi"/>
          <w:i/>
          <w:iCs/>
          <w:spacing w:val="-2"/>
        </w:rPr>
        <w:t>pnömatik</w:t>
      </w:r>
      <w:proofErr w:type="spellEnd"/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lastikler,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her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türlü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araç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 xml:space="preserve">tekerlekleri” </w:t>
      </w:r>
      <w:r w:rsidRPr="000B7ECE">
        <w:rPr>
          <w:rFonts w:asciiTheme="minorHAnsi" w:hAnsiTheme="minorHAnsi" w:cstheme="minorHAnsi"/>
          <w:w w:val="90"/>
        </w:rPr>
        <w:t xml:space="preserve">malları yanında talepte yer almamasına rağmen </w:t>
      </w:r>
      <w:r w:rsidRPr="000B7ECE">
        <w:rPr>
          <w:rFonts w:asciiTheme="minorHAnsi" w:hAnsiTheme="minorHAnsi" w:cstheme="minorHAnsi"/>
          <w:i/>
          <w:iCs/>
          <w:w w:val="90"/>
        </w:rPr>
        <w:t xml:space="preserve">“her türlü araç tekerlekleri için jantlar ve kapaklar” </w:t>
      </w:r>
      <w:r w:rsidRPr="000B7ECE">
        <w:rPr>
          <w:rFonts w:asciiTheme="minorHAnsi" w:hAnsiTheme="minorHAnsi" w:cstheme="minorHAnsi"/>
          <w:spacing w:val="-2"/>
        </w:rPr>
        <w:t>emtialarını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da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0B7ECE">
        <w:rPr>
          <w:rFonts w:asciiTheme="minorHAnsi" w:hAnsiTheme="minorHAnsi" w:cstheme="minorHAnsi"/>
          <w:spacing w:val="-2"/>
        </w:rPr>
        <w:t>Tüzük’ün</w:t>
      </w:r>
      <w:proofErr w:type="spellEnd"/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7/1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(e)-(ii)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bendi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gereğince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hükümsüz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kılar.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Pirelli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bu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karara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itiraz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eder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 xml:space="preserve">ve </w:t>
      </w:r>
      <w:r w:rsidRPr="000B7ECE">
        <w:rPr>
          <w:rFonts w:asciiTheme="minorHAnsi" w:hAnsiTheme="minorHAnsi" w:cstheme="minorHAnsi"/>
        </w:rPr>
        <w:t xml:space="preserve">itiraz EUIPO Temyiz Kurulu tarafından incelenir. EUIPO Temyiz Kurulu, </w:t>
      </w:r>
      <w:r w:rsidRPr="000B7ECE">
        <w:rPr>
          <w:rFonts w:asciiTheme="minorHAnsi" w:hAnsiTheme="minorHAnsi" w:cstheme="minorHAnsi"/>
          <w:i/>
          <w:iCs/>
        </w:rPr>
        <w:t xml:space="preserve">“dolgu lastikler, </w:t>
      </w:r>
      <w:proofErr w:type="spellStart"/>
      <w:r w:rsidRPr="000B7ECE">
        <w:rPr>
          <w:rFonts w:asciiTheme="minorHAnsi" w:hAnsiTheme="minorHAnsi" w:cstheme="minorHAnsi"/>
          <w:i/>
          <w:iCs/>
        </w:rPr>
        <w:t>pnömatik</w:t>
      </w:r>
      <w:proofErr w:type="spellEnd"/>
      <w:r w:rsidRPr="000B7ECE">
        <w:rPr>
          <w:rFonts w:asciiTheme="minorHAnsi" w:hAnsiTheme="minorHAnsi" w:cstheme="minorHAnsi"/>
          <w:i/>
          <w:iCs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ve</w:t>
      </w:r>
      <w:r w:rsidRPr="000B7ECE">
        <w:rPr>
          <w:rFonts w:asciiTheme="minorHAnsi" w:hAnsiTheme="minorHAnsi" w:cstheme="minorHAnsi"/>
          <w:i/>
          <w:iCs/>
          <w:spacing w:val="-10"/>
        </w:rPr>
        <w:t xml:space="preserve"> </w:t>
      </w:r>
      <w:r>
        <w:rPr>
          <w:rFonts w:asciiTheme="minorHAnsi" w:hAnsiTheme="minorHAnsi" w:cstheme="minorHAnsi"/>
          <w:i/>
          <w:iCs/>
          <w:spacing w:val="-2"/>
        </w:rPr>
        <w:t xml:space="preserve">yarı </w:t>
      </w:r>
      <w:proofErr w:type="spellStart"/>
      <w:r w:rsidRPr="000B7ECE">
        <w:rPr>
          <w:rFonts w:asciiTheme="minorHAnsi" w:hAnsiTheme="minorHAnsi" w:cstheme="minorHAnsi"/>
          <w:i/>
          <w:iCs/>
          <w:spacing w:val="-2"/>
        </w:rPr>
        <w:t>pnömatik</w:t>
      </w:r>
      <w:proofErr w:type="spellEnd"/>
      <w:r w:rsidRPr="000B7ECE">
        <w:rPr>
          <w:rFonts w:asciiTheme="minorHAnsi" w:hAnsiTheme="minorHAnsi" w:cstheme="minorHAnsi"/>
          <w:i/>
          <w:iCs/>
          <w:spacing w:val="-10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lastikler,</w:t>
      </w:r>
      <w:r w:rsidRPr="000B7ECE">
        <w:rPr>
          <w:rFonts w:asciiTheme="minorHAnsi" w:hAnsiTheme="minorHAnsi" w:cstheme="minorHAnsi"/>
          <w:i/>
          <w:iCs/>
          <w:spacing w:val="-10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her</w:t>
      </w:r>
      <w:r w:rsidRPr="000B7ECE">
        <w:rPr>
          <w:rFonts w:asciiTheme="minorHAnsi" w:hAnsiTheme="minorHAnsi" w:cstheme="minorHAnsi"/>
          <w:i/>
          <w:iCs/>
          <w:spacing w:val="-10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türlü</w:t>
      </w:r>
      <w:r w:rsidRPr="000B7ECE">
        <w:rPr>
          <w:rFonts w:asciiTheme="minorHAnsi" w:hAnsiTheme="minorHAnsi" w:cstheme="minorHAnsi"/>
          <w:i/>
          <w:iCs/>
          <w:spacing w:val="-10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araç</w:t>
      </w:r>
      <w:r w:rsidRPr="000B7ECE">
        <w:rPr>
          <w:rFonts w:asciiTheme="minorHAnsi" w:hAnsiTheme="minorHAnsi" w:cstheme="minorHAnsi"/>
          <w:i/>
          <w:iCs/>
          <w:spacing w:val="-10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2"/>
        </w:rPr>
        <w:t>tekerlekleri”</w:t>
      </w:r>
      <w:r w:rsidRPr="000B7ECE">
        <w:rPr>
          <w:rFonts w:asciiTheme="minorHAnsi" w:hAnsiTheme="minorHAnsi" w:cstheme="minorHAnsi"/>
          <w:i/>
          <w:iCs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açısından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İptal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Biriminin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kararını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onar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 xml:space="preserve">ancak </w:t>
      </w:r>
      <w:r w:rsidRPr="000B7ECE">
        <w:rPr>
          <w:rFonts w:asciiTheme="minorHAnsi" w:hAnsiTheme="minorHAnsi" w:cstheme="minorHAnsi"/>
          <w:spacing w:val="-4"/>
        </w:rPr>
        <w:t>hükümsüzlüğü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talep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edilmeyen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mallar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olan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“her</w:t>
      </w:r>
      <w:r w:rsidRPr="000B7ECE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türlü</w:t>
      </w:r>
      <w:r w:rsidRPr="000B7ECE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araç</w:t>
      </w:r>
      <w:r w:rsidRPr="000B7ECE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tekerlekleri</w:t>
      </w:r>
      <w:r w:rsidRPr="000B7ECE">
        <w:rPr>
          <w:rFonts w:asciiTheme="minorHAnsi" w:hAnsiTheme="minorHAnsi" w:cstheme="minorHAnsi"/>
          <w:i/>
          <w:iCs/>
          <w:spacing w:val="-12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için</w:t>
      </w:r>
      <w:r w:rsidRPr="000B7ECE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jantlar</w:t>
      </w:r>
      <w:r w:rsidRPr="000B7ECE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ve</w:t>
      </w:r>
      <w:r w:rsidRPr="000B7ECE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kapaklar”</w:t>
      </w:r>
      <w:r w:rsidRPr="000B7ECE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 xml:space="preserve">için </w:t>
      </w:r>
      <w:r w:rsidRPr="000B7ECE">
        <w:rPr>
          <w:rFonts w:asciiTheme="minorHAnsi" w:hAnsiTheme="minorHAnsi" w:cstheme="minorHAnsi"/>
        </w:rPr>
        <w:t>verilen hükümsüzlük kararını bozar.</w:t>
      </w:r>
    </w:p>
    <w:p w:rsidR="000B7ECE" w:rsidRPr="000B7ECE" w:rsidRDefault="000B7ECE" w:rsidP="000B7ECE">
      <w:pPr>
        <w:pStyle w:val="GvdeMetni"/>
        <w:kinsoku w:val="0"/>
        <w:overflowPunct w:val="0"/>
        <w:spacing w:before="213" w:line="230" w:lineRule="auto"/>
        <w:ind w:left="181" w:right="117"/>
        <w:jc w:val="both"/>
        <w:rPr>
          <w:rFonts w:asciiTheme="minorHAnsi" w:hAnsiTheme="minorHAnsi" w:cstheme="minorHAnsi"/>
        </w:rPr>
      </w:pPr>
      <w:r w:rsidRPr="000B7ECE">
        <w:rPr>
          <w:rFonts w:asciiTheme="minorHAnsi" w:hAnsiTheme="minorHAnsi" w:cstheme="minorHAnsi"/>
          <w:i/>
          <w:iCs/>
          <w:spacing w:val="-4"/>
        </w:rPr>
        <w:t>“Dolgu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lastikler,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proofErr w:type="spellStart"/>
      <w:r w:rsidRPr="000B7ECE">
        <w:rPr>
          <w:rFonts w:asciiTheme="minorHAnsi" w:hAnsiTheme="minorHAnsi" w:cstheme="minorHAnsi"/>
          <w:i/>
          <w:iCs/>
          <w:spacing w:val="-4"/>
        </w:rPr>
        <w:t>pnömatik</w:t>
      </w:r>
      <w:proofErr w:type="spellEnd"/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ve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>
        <w:rPr>
          <w:rFonts w:asciiTheme="minorHAnsi" w:hAnsiTheme="minorHAnsi" w:cstheme="minorHAnsi"/>
          <w:i/>
          <w:iCs/>
          <w:spacing w:val="-4"/>
        </w:rPr>
        <w:t xml:space="preserve">yarı </w:t>
      </w:r>
      <w:proofErr w:type="spellStart"/>
      <w:r w:rsidRPr="000B7ECE">
        <w:rPr>
          <w:rFonts w:asciiTheme="minorHAnsi" w:hAnsiTheme="minorHAnsi" w:cstheme="minorHAnsi"/>
          <w:i/>
          <w:iCs/>
          <w:spacing w:val="-4"/>
        </w:rPr>
        <w:t>pnömatik</w:t>
      </w:r>
      <w:proofErr w:type="spellEnd"/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lastikler,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her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türlü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araç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i/>
          <w:iCs/>
          <w:spacing w:val="-4"/>
        </w:rPr>
        <w:t>tekerlekleri”</w:t>
      </w:r>
      <w:r w:rsidRPr="000B7ECE">
        <w:rPr>
          <w:rFonts w:asciiTheme="minorHAnsi" w:hAnsiTheme="minorHAnsi" w:cstheme="minorHAnsi"/>
          <w:i/>
          <w:iCs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malları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için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  <w:spacing w:val="-4"/>
        </w:rPr>
        <w:t>hüküm</w:t>
      </w:r>
      <w:r w:rsidRPr="000B7ECE">
        <w:rPr>
          <w:rFonts w:asciiTheme="minorHAnsi" w:hAnsiTheme="minorHAnsi" w:cstheme="minorHAnsi"/>
        </w:rPr>
        <w:t>süzlük kararı verilen Pirelli, davayı AB Genel Mahkemesine taşır.</w:t>
      </w:r>
    </w:p>
    <w:p w:rsidR="000B7ECE" w:rsidRPr="000B7ECE" w:rsidRDefault="000B7ECE" w:rsidP="000B7ECE">
      <w:pPr>
        <w:pStyle w:val="GvdeMetni"/>
        <w:kinsoku w:val="0"/>
        <w:overflowPunct w:val="0"/>
        <w:spacing w:before="93" w:line="230" w:lineRule="auto"/>
        <w:ind w:left="187" w:right="3082"/>
        <w:jc w:val="both"/>
        <w:rPr>
          <w:rFonts w:asciiTheme="minorHAnsi" w:hAnsiTheme="minorHAnsi" w:cstheme="minorHAnsi"/>
        </w:rPr>
      </w:pPr>
    </w:p>
    <w:p w:rsidR="000B7ECE" w:rsidRDefault="000B7ECE" w:rsidP="000B7ECE">
      <w:pPr>
        <w:pStyle w:val="GvdeMetni"/>
        <w:kinsoku w:val="0"/>
        <w:overflowPunct w:val="0"/>
        <w:spacing w:before="4"/>
        <w:rPr>
          <w:rFonts w:asciiTheme="minorHAnsi" w:hAnsiTheme="minorHAnsi" w:cstheme="minorHAnsi"/>
          <w:sz w:val="9"/>
          <w:szCs w:val="9"/>
        </w:rPr>
      </w:pPr>
    </w:p>
    <w:p w:rsidR="000B7ECE" w:rsidRDefault="000B7ECE" w:rsidP="000B7ECE">
      <w:pPr>
        <w:pStyle w:val="GvdeMetni"/>
        <w:kinsoku w:val="0"/>
        <w:overflowPunct w:val="0"/>
        <w:spacing w:before="4"/>
        <w:rPr>
          <w:rFonts w:asciiTheme="minorHAnsi" w:hAnsiTheme="minorHAnsi" w:cstheme="minorHAnsi"/>
          <w:sz w:val="9"/>
          <w:szCs w:val="9"/>
        </w:rPr>
      </w:pPr>
    </w:p>
    <w:p w:rsidR="000B7ECE" w:rsidRPr="000B7ECE" w:rsidRDefault="000B7ECE" w:rsidP="000B7ECE">
      <w:pPr>
        <w:pStyle w:val="GvdeMetni"/>
        <w:kinsoku w:val="0"/>
        <w:overflowPunct w:val="0"/>
        <w:spacing w:before="4"/>
        <w:rPr>
          <w:rFonts w:asciiTheme="minorHAnsi" w:hAnsiTheme="minorHAnsi" w:cstheme="minorHAnsi"/>
          <w:sz w:val="9"/>
          <w:szCs w:val="9"/>
        </w:rPr>
      </w:pPr>
      <w:r w:rsidRPr="000B7ECE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8240" behindDoc="0" locked="0" layoutInCell="0" allowOverlap="1">
                <wp:simplePos x="0" y="0"/>
                <wp:positionH relativeFrom="page">
                  <wp:posOffset>829945</wp:posOffset>
                </wp:positionH>
                <wp:positionV relativeFrom="paragraph">
                  <wp:posOffset>88265</wp:posOffset>
                </wp:positionV>
                <wp:extent cx="6260465" cy="635"/>
                <wp:effectExtent l="10795" t="5080" r="5715" b="13335"/>
                <wp:wrapTopAndBottom/>
                <wp:docPr id="1" name="Serbest 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0465" cy="635"/>
                        </a:xfrm>
                        <a:custGeom>
                          <a:avLst/>
                          <a:gdLst>
                            <a:gd name="T0" fmla="*/ 0 w 9859"/>
                            <a:gd name="T1" fmla="*/ 0 h 1"/>
                            <a:gd name="T2" fmla="*/ 9858 w 985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59" h="1">
                              <a:moveTo>
                                <a:pt x="0" y="0"/>
                              </a:moveTo>
                              <a:lnTo>
                                <a:pt x="9858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502C4F9" id="Serbest Form 1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35pt,6.95pt,558.25pt,6.95pt" coordsize="985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" o:allowincell="f" filled="f" strokecolor="#3259bf" strokeweight=".2mm">
                <v:path arrowok="t" o:connecttype="custom" o:connectlocs="0,0;6259830,0" o:connectangles="0,0"/>
                <w10:wrap type="topAndBottom" anchorx="page"/>
              </v:polyline>
            </w:pict>
          </mc:Fallback>
        </mc:AlternateContent>
      </w:r>
    </w:p>
    <w:p w:rsidR="000B7ECE" w:rsidRPr="000B7ECE" w:rsidRDefault="000B7ECE" w:rsidP="000B7ECE">
      <w:pPr>
        <w:pStyle w:val="GvdeMetni"/>
        <w:kinsoku w:val="0"/>
        <w:overflowPunct w:val="0"/>
        <w:spacing w:before="29"/>
        <w:ind w:left="187"/>
        <w:jc w:val="both"/>
        <w:rPr>
          <w:rFonts w:asciiTheme="minorHAnsi" w:hAnsiTheme="minorHAnsi" w:cstheme="minorHAnsi"/>
          <w:spacing w:val="-5"/>
          <w:w w:val="90"/>
          <w:sz w:val="18"/>
          <w:szCs w:val="18"/>
        </w:rPr>
      </w:pPr>
      <w:r w:rsidRPr="000B7ECE">
        <w:rPr>
          <w:rFonts w:asciiTheme="minorHAnsi" w:hAnsiTheme="minorHAnsi" w:cstheme="minorHAnsi"/>
          <w:w w:val="90"/>
          <w:sz w:val="18"/>
          <w:szCs w:val="18"/>
        </w:rPr>
        <w:t>1</w:t>
      </w:r>
      <w:r w:rsidRPr="000B7ECE">
        <w:rPr>
          <w:rFonts w:asciiTheme="minorHAnsi" w:hAnsiTheme="minorHAnsi" w:cstheme="minorHAnsi"/>
          <w:spacing w:val="12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w w:val="90"/>
          <w:sz w:val="18"/>
          <w:szCs w:val="18"/>
        </w:rPr>
        <w:t>AB</w:t>
      </w:r>
      <w:r w:rsidRPr="000B7ECE">
        <w:rPr>
          <w:rFonts w:asciiTheme="minorHAnsi" w:hAnsiTheme="minorHAnsi" w:cstheme="minorHAnsi"/>
          <w:spacing w:val="13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w w:val="90"/>
          <w:sz w:val="18"/>
          <w:szCs w:val="18"/>
        </w:rPr>
        <w:t>Adalet</w:t>
      </w:r>
      <w:r w:rsidRPr="000B7ECE">
        <w:rPr>
          <w:rFonts w:asciiTheme="minorHAnsi" w:hAnsiTheme="minorHAnsi" w:cstheme="minorHAnsi"/>
          <w:spacing w:val="13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w w:val="90"/>
          <w:sz w:val="18"/>
          <w:szCs w:val="18"/>
        </w:rPr>
        <w:t>Divanı,</w:t>
      </w:r>
      <w:r w:rsidRPr="000B7ECE">
        <w:rPr>
          <w:rFonts w:asciiTheme="minorHAnsi" w:hAnsiTheme="minorHAnsi" w:cstheme="minorHAnsi"/>
          <w:spacing w:val="13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w w:val="90"/>
          <w:sz w:val="18"/>
          <w:szCs w:val="18"/>
        </w:rPr>
        <w:t>14.09.2010</w:t>
      </w:r>
      <w:r w:rsidRPr="000B7ECE">
        <w:rPr>
          <w:rFonts w:asciiTheme="minorHAnsi" w:hAnsiTheme="minorHAnsi" w:cstheme="minorHAnsi"/>
          <w:spacing w:val="12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w w:val="90"/>
          <w:sz w:val="18"/>
          <w:szCs w:val="18"/>
        </w:rPr>
        <w:t>tarihli</w:t>
      </w:r>
      <w:r w:rsidRPr="000B7ECE">
        <w:rPr>
          <w:rFonts w:asciiTheme="minorHAnsi" w:hAnsiTheme="minorHAnsi" w:cstheme="minorHAnsi"/>
          <w:spacing w:val="13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w w:val="90"/>
          <w:sz w:val="18"/>
          <w:szCs w:val="18"/>
        </w:rPr>
        <w:t>ve</w:t>
      </w:r>
      <w:r w:rsidRPr="000B7ECE">
        <w:rPr>
          <w:rFonts w:asciiTheme="minorHAnsi" w:hAnsiTheme="minorHAnsi" w:cstheme="minorHAnsi"/>
          <w:spacing w:val="13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w w:val="90"/>
          <w:sz w:val="18"/>
          <w:szCs w:val="18"/>
        </w:rPr>
        <w:t>C488/09</w:t>
      </w:r>
      <w:r w:rsidRPr="000B7ECE">
        <w:rPr>
          <w:rFonts w:asciiTheme="minorHAnsi" w:hAnsiTheme="minorHAnsi" w:cstheme="minorHAnsi"/>
          <w:spacing w:val="13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w w:val="90"/>
          <w:sz w:val="18"/>
          <w:szCs w:val="18"/>
        </w:rPr>
        <w:t>sayılı</w:t>
      </w:r>
      <w:r w:rsidRPr="000B7ECE">
        <w:rPr>
          <w:rFonts w:asciiTheme="minorHAnsi" w:hAnsiTheme="minorHAnsi" w:cstheme="minorHAnsi"/>
          <w:spacing w:val="13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w w:val="90"/>
          <w:sz w:val="18"/>
          <w:szCs w:val="18"/>
        </w:rPr>
        <w:t>“Lego</w:t>
      </w:r>
      <w:r w:rsidRPr="000B7ECE">
        <w:rPr>
          <w:rFonts w:asciiTheme="minorHAnsi" w:hAnsiTheme="minorHAnsi" w:cstheme="minorHAnsi"/>
          <w:spacing w:val="12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w w:val="90"/>
          <w:sz w:val="18"/>
          <w:szCs w:val="18"/>
        </w:rPr>
        <w:t>Kararı”,</w:t>
      </w:r>
      <w:r w:rsidRPr="000B7ECE">
        <w:rPr>
          <w:rFonts w:asciiTheme="minorHAnsi" w:hAnsiTheme="minorHAnsi" w:cstheme="minorHAnsi"/>
          <w:spacing w:val="13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w w:val="90"/>
          <w:sz w:val="18"/>
          <w:szCs w:val="18"/>
        </w:rPr>
        <w:t>paragraf</w:t>
      </w:r>
      <w:r w:rsidRPr="000B7ECE">
        <w:rPr>
          <w:rFonts w:asciiTheme="minorHAnsi" w:hAnsiTheme="minorHAnsi" w:cstheme="minorHAnsi"/>
          <w:spacing w:val="13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spacing w:val="-5"/>
          <w:w w:val="90"/>
          <w:sz w:val="18"/>
          <w:szCs w:val="18"/>
        </w:rPr>
        <w:t>39.</w:t>
      </w:r>
    </w:p>
    <w:p w:rsidR="000B7ECE" w:rsidRPr="000B7ECE" w:rsidRDefault="000B7ECE" w:rsidP="000B7ECE">
      <w:pPr>
        <w:pStyle w:val="GvdeMetni"/>
        <w:kinsoku w:val="0"/>
        <w:overflowPunct w:val="0"/>
        <w:spacing w:before="29"/>
        <w:ind w:left="187"/>
        <w:jc w:val="both"/>
        <w:rPr>
          <w:rFonts w:asciiTheme="minorHAnsi" w:hAnsiTheme="minorHAnsi" w:cstheme="minorHAnsi"/>
          <w:spacing w:val="-5"/>
          <w:w w:val="90"/>
          <w:sz w:val="18"/>
          <w:szCs w:val="18"/>
        </w:rPr>
        <w:sectPr w:rsidR="000B7ECE" w:rsidRPr="000B7ECE" w:rsidSect="007C7AE5">
          <w:pgSz w:w="12240" w:h="15840"/>
          <w:pgMar w:top="1040" w:right="960" w:bottom="1160" w:left="1120" w:header="737" w:footer="977" w:gutter="0"/>
          <w:cols w:space="708"/>
          <w:noEndnote/>
        </w:sectPr>
      </w:pPr>
    </w:p>
    <w:p w:rsidR="000B7ECE" w:rsidRPr="000B7ECE" w:rsidRDefault="000B7ECE" w:rsidP="000B7ECE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0B7ECE" w:rsidRPr="000B7ECE" w:rsidRDefault="000B7ECE" w:rsidP="000B7ECE">
      <w:pPr>
        <w:pStyle w:val="GvdeMetni"/>
        <w:kinsoku w:val="0"/>
        <w:overflowPunct w:val="0"/>
        <w:spacing w:before="203" w:line="230" w:lineRule="auto"/>
        <w:ind w:left="181" w:right="115"/>
        <w:jc w:val="both"/>
        <w:rPr>
          <w:rFonts w:asciiTheme="minorHAnsi" w:hAnsiTheme="minorHAnsi" w:cstheme="minorHAnsi"/>
        </w:rPr>
      </w:pPr>
      <w:r w:rsidRPr="000B7ECE">
        <w:rPr>
          <w:rFonts w:asciiTheme="minorHAnsi" w:hAnsiTheme="minorHAnsi" w:cstheme="minorHAnsi"/>
        </w:rPr>
        <w:t>AB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Genel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Mahkemesi,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marka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örneğinde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görülen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şeklin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dış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lastikte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yer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alan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tek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bir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oluğu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 xml:space="preserve">temsil </w:t>
      </w:r>
      <w:r w:rsidRPr="000B7ECE">
        <w:rPr>
          <w:rFonts w:asciiTheme="minorHAnsi" w:hAnsiTheme="minorHAnsi" w:cstheme="minorHAnsi"/>
          <w:spacing w:val="-2"/>
        </w:rPr>
        <w:t>ettiğini,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tek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bir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oluğun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münhasıran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redde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konu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mallar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için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teknik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işlev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göremeyeceği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veya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tek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 xml:space="preserve">bir </w:t>
      </w:r>
      <w:r w:rsidRPr="000B7ECE">
        <w:rPr>
          <w:rFonts w:asciiTheme="minorHAnsi" w:hAnsiTheme="minorHAnsi" w:cstheme="minorHAnsi"/>
        </w:rPr>
        <w:t>oluk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şeklinin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hükümsüz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kılınan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mallar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için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ne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nicelik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ne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de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nitelik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olarak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önemli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bir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parçasını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 xml:space="preserve">teşkil </w:t>
      </w:r>
      <w:r w:rsidRPr="000B7ECE">
        <w:rPr>
          <w:rFonts w:asciiTheme="minorHAnsi" w:hAnsiTheme="minorHAnsi" w:cstheme="minorHAnsi"/>
          <w:spacing w:val="-2"/>
        </w:rPr>
        <w:t>edemeyeceği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gerekçeleriyle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tescile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konu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şeklin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teknik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bir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işlev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görmesi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nedeniyle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  <w:spacing w:val="-2"/>
        </w:rPr>
        <w:t>reddedileme</w:t>
      </w:r>
      <w:r w:rsidRPr="000B7ECE">
        <w:rPr>
          <w:rFonts w:asciiTheme="minorHAnsi" w:hAnsiTheme="minorHAnsi" w:cstheme="minorHAnsi"/>
        </w:rPr>
        <w:t>yeceğini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belirtmiştir.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Genel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Mahkeme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ayrıca,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tek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bir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oluk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şeklinin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tescilinin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Pirelli’ye,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rakiplerinin aynı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oluk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şeklini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ürünlerinde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farklı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unsurlarla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birlikte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dış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lastik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deseninde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kullanmasını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</w:rPr>
        <w:t>engelleme hakkı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</w:rPr>
        <w:t>bahşetmeyeceğine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</w:rPr>
        <w:t>karar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</w:rPr>
        <w:t>vererek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</w:rPr>
        <w:t>EUIPO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</w:rPr>
        <w:t>Temyiz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</w:rPr>
        <w:t>Kurulu’nun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</w:rPr>
        <w:t>kararını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</w:rPr>
        <w:t>iptal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</w:rPr>
        <w:t>etmiştir.</w:t>
      </w:r>
    </w:p>
    <w:p w:rsidR="000B7ECE" w:rsidRPr="000B7ECE" w:rsidRDefault="000B7ECE" w:rsidP="000B7ECE">
      <w:pPr>
        <w:pStyle w:val="GvdeMetni"/>
        <w:kinsoku w:val="0"/>
        <w:overflowPunct w:val="0"/>
        <w:spacing w:before="207" w:line="230" w:lineRule="auto"/>
        <w:ind w:left="181" w:right="114"/>
        <w:jc w:val="both"/>
        <w:rPr>
          <w:rFonts w:asciiTheme="minorHAnsi" w:hAnsiTheme="minorHAnsi" w:cstheme="minorHAnsi"/>
          <w:spacing w:val="-4"/>
        </w:rPr>
      </w:pPr>
      <w:r w:rsidRPr="000B7ECE">
        <w:rPr>
          <w:rFonts w:asciiTheme="minorHAnsi" w:hAnsiTheme="minorHAnsi" w:cstheme="minorHAnsi"/>
          <w:spacing w:val="-4"/>
        </w:rPr>
        <w:t>Karara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hem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Yokohama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hem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de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EUIPO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itiraz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etmiş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ve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dosya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AB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Adalet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Divanı’na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taşınmıştır.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 xml:space="preserve">Karar- </w:t>
      </w:r>
      <w:r w:rsidRPr="000B7ECE">
        <w:rPr>
          <w:rFonts w:asciiTheme="minorHAnsi" w:hAnsiTheme="minorHAnsi" w:cstheme="minorHAnsi"/>
          <w:spacing w:val="-6"/>
        </w:rPr>
        <w:t xml:space="preserve">da hükmün zaman yönünden uygulanması ile dava dosyasına sunulan delillerin geçerliliğine ilişkin </w:t>
      </w:r>
      <w:r w:rsidRPr="000B7ECE">
        <w:rPr>
          <w:rFonts w:asciiTheme="minorHAnsi" w:hAnsiTheme="minorHAnsi" w:cstheme="minorHAnsi"/>
          <w:spacing w:val="-2"/>
        </w:rPr>
        <w:t>değerlendirmeler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olsa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da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bu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yazı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kapsamında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belirtilen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konulara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değinilmeyecek,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kararın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 xml:space="preserve">şeklin </w:t>
      </w:r>
      <w:r w:rsidRPr="000B7ECE">
        <w:rPr>
          <w:rFonts w:asciiTheme="minorHAnsi" w:hAnsiTheme="minorHAnsi" w:cstheme="minorHAnsi"/>
        </w:rPr>
        <w:t xml:space="preserve">teknik bir sonucu elde etmek için zorunlu bir şekil olup olmadığına ilişkin tarafların ileri sürdüğü </w:t>
      </w:r>
      <w:r w:rsidRPr="000B7ECE">
        <w:rPr>
          <w:rFonts w:asciiTheme="minorHAnsi" w:hAnsiTheme="minorHAnsi" w:cstheme="minorHAnsi"/>
          <w:spacing w:val="-4"/>
        </w:rPr>
        <w:t>iddialar ile Adalet Divanı tarafından yapılan değerlendirmelere yer verilecektir.</w:t>
      </w:r>
    </w:p>
    <w:p w:rsidR="000B7ECE" w:rsidRPr="000B7ECE" w:rsidRDefault="000B7ECE" w:rsidP="000B7ECE">
      <w:pPr>
        <w:pStyle w:val="GvdeMetni"/>
        <w:kinsoku w:val="0"/>
        <w:overflowPunct w:val="0"/>
        <w:spacing w:before="206" w:line="230" w:lineRule="auto"/>
        <w:ind w:left="181" w:right="115"/>
        <w:jc w:val="both"/>
        <w:rPr>
          <w:rFonts w:asciiTheme="minorHAnsi" w:hAnsiTheme="minorHAnsi" w:cstheme="minorHAnsi"/>
          <w:spacing w:val="-2"/>
        </w:rPr>
      </w:pPr>
      <w:r w:rsidRPr="000B7ECE">
        <w:rPr>
          <w:rFonts w:asciiTheme="minorHAnsi" w:hAnsiTheme="minorHAnsi" w:cstheme="minorHAnsi"/>
        </w:rPr>
        <w:t>Yokohama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</w:rPr>
        <w:t>ve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</w:rPr>
        <w:t>EUIPO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</w:rPr>
        <w:t>karara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</w:rPr>
        <w:t>değerlendirme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</w:rPr>
        <w:t>konusu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</w:rPr>
        <w:t>işaretin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</w:rPr>
        <w:t>temel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</w:rPr>
        <w:t>karakteristik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</w:rPr>
        <w:t>özellikleri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>belirle</w:t>
      </w:r>
      <w:r w:rsidRPr="000B7ECE">
        <w:rPr>
          <w:rFonts w:asciiTheme="minorHAnsi" w:hAnsiTheme="minorHAnsi" w:cstheme="minorHAnsi"/>
          <w:w w:val="90"/>
        </w:rPr>
        <w:t>nirken AB Genel Mahkemesi’nin hatalı değerlendirmede bulunduğu ve</w:t>
      </w:r>
      <w:r>
        <w:rPr>
          <w:rFonts w:asciiTheme="minorHAnsi" w:hAnsiTheme="minorHAnsi" w:cstheme="minorHAnsi"/>
          <w:w w:val="90"/>
        </w:rPr>
        <w:t xml:space="preserve"> 7/1 (e)-(ii) bendinin uygulan</w:t>
      </w:r>
      <w:r w:rsidRPr="000B7ECE">
        <w:rPr>
          <w:rFonts w:asciiTheme="minorHAnsi" w:hAnsiTheme="minorHAnsi" w:cstheme="minorHAnsi"/>
          <w:spacing w:val="-4"/>
        </w:rPr>
        <w:t>masında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-teknik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bir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sonucu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elde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etmek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için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gerekli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şeklin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incelemesinde-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şeklin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ürünün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hem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 xml:space="preserve">nitelik </w:t>
      </w:r>
      <w:r w:rsidRPr="000B7ECE">
        <w:rPr>
          <w:rFonts w:asciiTheme="minorHAnsi" w:hAnsiTheme="minorHAnsi" w:cstheme="minorHAnsi"/>
          <w:spacing w:val="-2"/>
        </w:rPr>
        <w:t>hem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de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nicelik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olarak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önemli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bir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parçasını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teşkil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etmesi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gerektiğine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dair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hatalı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bir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şekilde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şart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  <w:spacing w:val="-2"/>
        </w:rPr>
        <w:t>ge</w:t>
      </w:r>
      <w:r w:rsidRPr="000B7ECE">
        <w:rPr>
          <w:rFonts w:asciiTheme="minorHAnsi" w:hAnsiTheme="minorHAnsi" w:cstheme="minorHAnsi"/>
          <w:spacing w:val="-2"/>
        </w:rPr>
        <w:t>tirildiği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gerekçeleriyle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itiraz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etmiş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ve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dosya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nihai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olarak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AB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Adalet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Divanı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tarafından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incelenmiştir.</w:t>
      </w:r>
    </w:p>
    <w:p w:rsidR="000B7ECE" w:rsidRDefault="000B7ECE" w:rsidP="000B7ECE">
      <w:pPr>
        <w:pStyle w:val="GvdeMetni"/>
        <w:kinsoku w:val="0"/>
        <w:overflowPunct w:val="0"/>
        <w:spacing w:before="205" w:line="230" w:lineRule="auto"/>
        <w:ind w:left="181" w:right="115"/>
        <w:jc w:val="both"/>
        <w:rPr>
          <w:rFonts w:asciiTheme="minorHAnsi" w:hAnsiTheme="minorHAnsi" w:cstheme="minorHAnsi"/>
        </w:rPr>
      </w:pPr>
      <w:r w:rsidRPr="000B7ECE">
        <w:rPr>
          <w:rFonts w:asciiTheme="minorHAnsi" w:hAnsiTheme="minorHAnsi" w:cstheme="minorHAnsi"/>
          <w:spacing w:val="-4"/>
        </w:rPr>
        <w:t>Adalet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Divanı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vermiş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olduğu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kararda,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Genel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Mahkeme’nin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inceleme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konusu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şeklin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lastik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 xml:space="preserve">desenin- </w:t>
      </w:r>
      <w:r w:rsidRPr="000B7ECE">
        <w:rPr>
          <w:rFonts w:asciiTheme="minorHAnsi" w:hAnsiTheme="minorHAnsi" w:cstheme="minorHAnsi"/>
        </w:rPr>
        <w:t>den oluşmadığı, tek bir oluktan oluştuğu, tek bir oluğun münh</w:t>
      </w:r>
      <w:r>
        <w:rPr>
          <w:rFonts w:asciiTheme="minorHAnsi" w:hAnsiTheme="minorHAnsi" w:cstheme="minorHAnsi"/>
        </w:rPr>
        <w:t>asıran teknik işlev göremeyece</w:t>
      </w:r>
      <w:r w:rsidRPr="000B7ECE">
        <w:rPr>
          <w:rFonts w:asciiTheme="minorHAnsi" w:hAnsiTheme="minorHAnsi" w:cstheme="minorHAnsi"/>
          <w:spacing w:val="-2"/>
        </w:rPr>
        <w:t>ği,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Yokohama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tarafından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sunulan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tek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proofErr w:type="gramStart"/>
      <w:r w:rsidRPr="000B7ECE">
        <w:rPr>
          <w:rFonts w:asciiTheme="minorHAnsi" w:hAnsiTheme="minorHAnsi" w:cstheme="minorHAnsi"/>
          <w:spacing w:val="-2"/>
        </w:rPr>
        <w:t>oluktan</w:t>
      </w:r>
      <w:proofErr w:type="gramEnd"/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oluşan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lastik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deseninin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teknik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işlev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 xml:space="preserve">görebileceğine </w:t>
      </w:r>
      <w:r w:rsidRPr="000B7ECE">
        <w:rPr>
          <w:rFonts w:asciiTheme="minorHAnsi" w:hAnsiTheme="minorHAnsi" w:cstheme="minorHAnsi"/>
        </w:rPr>
        <w:t xml:space="preserve">ilişkin kanıtta yer alan şeklin değerlendirme konusu şekille benzer olmadığına ilişkin tespitlerini onamıştır. Ayrıca, Pirelli’nin bu tescile sahip olmasının diğer firmaları lastik deseninde bu şekli </w:t>
      </w:r>
      <w:r w:rsidRPr="000B7ECE">
        <w:rPr>
          <w:rFonts w:asciiTheme="minorHAnsi" w:hAnsiTheme="minorHAnsi" w:cstheme="minorHAnsi"/>
          <w:w w:val="90"/>
        </w:rPr>
        <w:t xml:space="preserve">kullanmalarına engel olamayacağına ilişkin değerlendirmelerinde de herhangi bir hata olmadığını </w:t>
      </w:r>
      <w:r w:rsidRPr="000B7ECE">
        <w:rPr>
          <w:rFonts w:asciiTheme="minorHAnsi" w:hAnsiTheme="minorHAnsi" w:cstheme="minorHAnsi"/>
        </w:rPr>
        <w:t>belirtmiştir.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proofErr w:type="gramStart"/>
      <w:r w:rsidRPr="000B7ECE">
        <w:rPr>
          <w:rFonts w:asciiTheme="minorHAnsi" w:hAnsiTheme="minorHAnsi" w:cstheme="minorHAnsi"/>
        </w:rPr>
        <w:t>Ayrıca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Adalet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Divanı,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Genel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Mahkeme’nin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şeklin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teknik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bir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işlev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görmeyeceğine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iliş- kin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“şeklin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ürünün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hem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nitelik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hem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de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nicelik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olarak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önemli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bir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parçasını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teşkil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etmesi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 xml:space="preserve">gerektiği” </w:t>
      </w:r>
      <w:r w:rsidRPr="000B7ECE">
        <w:rPr>
          <w:rFonts w:asciiTheme="minorHAnsi" w:hAnsiTheme="minorHAnsi" w:cstheme="minorHAnsi"/>
          <w:w w:val="90"/>
        </w:rPr>
        <w:t xml:space="preserve">yönünde bir şart getirmediğini, böyle hatalı bir değerlendirmede bulunsa dahi bu hatanın davanın </w:t>
      </w:r>
      <w:r w:rsidRPr="000B7ECE">
        <w:rPr>
          <w:rFonts w:asciiTheme="minorHAnsi" w:hAnsiTheme="minorHAnsi" w:cstheme="minorHAnsi"/>
          <w:spacing w:val="-6"/>
        </w:rPr>
        <w:t xml:space="preserve">sonucuna etki etmeyeceği yönünde karar vererek, nihai olarak EUIPO ve Yokohama’nın itirazlarını </w:t>
      </w:r>
      <w:r w:rsidRPr="000B7ECE">
        <w:rPr>
          <w:rFonts w:asciiTheme="minorHAnsi" w:hAnsiTheme="minorHAnsi" w:cstheme="minorHAnsi"/>
        </w:rPr>
        <w:t>ve hükümsüzlük talebini red</w:t>
      </w:r>
      <w:r>
        <w:rPr>
          <w:rFonts w:asciiTheme="minorHAnsi" w:hAnsiTheme="minorHAnsi" w:cstheme="minorHAnsi"/>
        </w:rPr>
        <w:t>detmiştir.</w:t>
      </w:r>
      <w:proofErr w:type="gramEnd"/>
    </w:p>
    <w:p w:rsidR="000B7ECE" w:rsidRPr="000B7ECE" w:rsidRDefault="000B7ECE" w:rsidP="000B7ECE">
      <w:pPr>
        <w:pStyle w:val="GvdeMetni"/>
        <w:kinsoku w:val="0"/>
        <w:overflowPunct w:val="0"/>
        <w:spacing w:before="205" w:line="230" w:lineRule="auto"/>
        <w:ind w:left="181" w:right="115"/>
        <w:jc w:val="both"/>
        <w:rPr>
          <w:rFonts w:asciiTheme="minorHAnsi" w:hAnsiTheme="minorHAnsi" w:cstheme="minorHAnsi"/>
          <w:sz w:val="26"/>
          <w:szCs w:val="26"/>
        </w:rPr>
      </w:pPr>
    </w:p>
    <w:p w:rsidR="000B7ECE" w:rsidRPr="000B7ECE" w:rsidRDefault="000B7ECE" w:rsidP="000B7ECE">
      <w:pPr>
        <w:pStyle w:val="GvdeMetni"/>
        <w:kinsoku w:val="0"/>
        <w:overflowPunct w:val="0"/>
        <w:spacing w:before="103"/>
        <w:ind w:left="183"/>
        <w:rPr>
          <w:rFonts w:asciiTheme="minorHAnsi" w:hAnsiTheme="minorHAnsi" w:cstheme="minorHAnsi"/>
          <w:b/>
          <w:bCs/>
          <w:spacing w:val="-2"/>
        </w:rPr>
      </w:pPr>
      <w:r w:rsidRPr="000B7ECE">
        <w:rPr>
          <w:rFonts w:asciiTheme="minorHAnsi" w:hAnsiTheme="minorHAnsi" w:cstheme="minorHAnsi"/>
          <w:b/>
          <w:bCs/>
          <w:spacing w:val="-2"/>
        </w:rPr>
        <w:t>DEĞERLENDİRME</w:t>
      </w:r>
    </w:p>
    <w:p w:rsidR="000B7ECE" w:rsidRPr="000B7ECE" w:rsidRDefault="000B7ECE" w:rsidP="000B7ECE">
      <w:pPr>
        <w:pStyle w:val="GvdeMetni"/>
        <w:kinsoku w:val="0"/>
        <w:overflowPunct w:val="0"/>
        <w:spacing w:before="202" w:line="230" w:lineRule="auto"/>
        <w:ind w:left="183" w:right="112"/>
        <w:jc w:val="both"/>
        <w:rPr>
          <w:rFonts w:asciiTheme="minorHAnsi" w:hAnsiTheme="minorHAnsi" w:cstheme="minorHAnsi"/>
        </w:rPr>
      </w:pPr>
      <w:r w:rsidRPr="000B7ECE">
        <w:rPr>
          <w:rFonts w:asciiTheme="minorHAnsi" w:hAnsiTheme="minorHAnsi" w:cstheme="minorHAnsi"/>
          <w:spacing w:val="-4"/>
        </w:rPr>
        <w:t>Karardan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anlaşıldığı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üzere,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“şekil”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markası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olarak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alınan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bir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tescil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daha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sonra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şeklin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ürüne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proofErr w:type="gramStart"/>
      <w:r w:rsidRPr="000B7ECE">
        <w:rPr>
          <w:rFonts w:asciiTheme="minorHAnsi" w:hAnsiTheme="minorHAnsi" w:cstheme="minorHAnsi"/>
          <w:spacing w:val="-4"/>
        </w:rPr>
        <w:t>entegre</w:t>
      </w:r>
      <w:proofErr w:type="gramEnd"/>
      <w:r w:rsidRPr="000B7ECE">
        <w:rPr>
          <w:rFonts w:asciiTheme="minorHAnsi" w:hAnsiTheme="minorHAnsi" w:cstheme="minorHAnsi"/>
          <w:spacing w:val="-4"/>
        </w:rPr>
        <w:t xml:space="preserve"> edilmiş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hali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göz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önüne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alınarak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teknik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bir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sonucu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elde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etmek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amacıyla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zorunlu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bir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şekil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olup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  <w:spacing w:val="-4"/>
        </w:rPr>
        <w:t>olma</w:t>
      </w:r>
      <w:r w:rsidRPr="000B7ECE">
        <w:rPr>
          <w:rFonts w:asciiTheme="minorHAnsi" w:hAnsiTheme="minorHAnsi" w:cstheme="minorHAnsi"/>
        </w:rPr>
        <w:t>dığı</w:t>
      </w:r>
      <w:r w:rsidRPr="000B7ECE">
        <w:rPr>
          <w:rFonts w:asciiTheme="minorHAnsi" w:hAnsiTheme="minorHAnsi" w:cstheme="minorHAnsi"/>
          <w:spacing w:val="-16"/>
        </w:rPr>
        <w:t xml:space="preserve"> </w:t>
      </w:r>
      <w:r w:rsidRPr="000B7ECE">
        <w:rPr>
          <w:rFonts w:asciiTheme="minorHAnsi" w:hAnsiTheme="minorHAnsi" w:cstheme="minorHAnsi"/>
        </w:rPr>
        <w:t>gerekçesiyle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hükümsüzlük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değerlendirmesine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konu</w:t>
      </w:r>
      <w:r w:rsidRPr="000B7ECE">
        <w:rPr>
          <w:rFonts w:asciiTheme="minorHAnsi" w:hAnsiTheme="minorHAnsi" w:cstheme="minorHAnsi"/>
          <w:spacing w:val="-16"/>
        </w:rPr>
        <w:t xml:space="preserve"> </w:t>
      </w:r>
      <w:r w:rsidRPr="000B7ECE">
        <w:rPr>
          <w:rFonts w:asciiTheme="minorHAnsi" w:hAnsiTheme="minorHAnsi" w:cstheme="minorHAnsi"/>
        </w:rPr>
        <w:t>olabilmektedir.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Esas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itibarıyla,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şekil</w:t>
      </w:r>
      <w:r w:rsidRPr="000B7ECE">
        <w:rPr>
          <w:rFonts w:asciiTheme="minorHAnsi" w:hAnsiTheme="minorHAnsi" w:cstheme="minorHAnsi"/>
          <w:spacing w:val="-16"/>
        </w:rPr>
        <w:t xml:space="preserve"> </w:t>
      </w:r>
      <w:r>
        <w:rPr>
          <w:rFonts w:asciiTheme="minorHAnsi" w:hAnsiTheme="minorHAnsi" w:cstheme="minorHAnsi"/>
        </w:rPr>
        <w:t>mar</w:t>
      </w:r>
      <w:r w:rsidRPr="000B7ECE">
        <w:rPr>
          <w:rFonts w:asciiTheme="minorHAnsi" w:hAnsiTheme="minorHAnsi" w:cstheme="minorHAnsi"/>
        </w:rPr>
        <w:t xml:space="preserve">kası olarak tescil edilen bir işaretin tescil kapsamındaki ürünlerin üzerinde tanıtıcı işaret olarak </w:t>
      </w:r>
      <w:proofErr w:type="spellStart"/>
      <w:r w:rsidRPr="000B7ECE">
        <w:rPr>
          <w:rFonts w:asciiTheme="minorHAnsi" w:hAnsiTheme="minorHAnsi" w:cstheme="minorHAnsi"/>
        </w:rPr>
        <w:t>markasal</w:t>
      </w:r>
      <w:proofErr w:type="spellEnd"/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kullanıma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konu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edilmesi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beklenir.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Diğer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bir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deyişle,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ilgili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sektörde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firmaların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markalarını ürünlerde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</w:rPr>
        <w:t>konumlandırma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</w:rPr>
        <w:t>geleneklerine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</w:rPr>
        <w:t>uygun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</w:rPr>
        <w:t>olarak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</w:rPr>
        <w:t>işaretin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</w:rPr>
        <w:t>marka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</w:rPr>
        <w:t>olarak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</w:rPr>
        <w:t>algılanacak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</w:rPr>
        <w:t xml:space="preserve">şekil- </w:t>
      </w:r>
      <w:r w:rsidRPr="000B7ECE">
        <w:rPr>
          <w:rFonts w:asciiTheme="minorHAnsi" w:hAnsiTheme="minorHAnsi" w:cstheme="minorHAnsi"/>
          <w:spacing w:val="-2"/>
        </w:rPr>
        <w:t>de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konumlandırılması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ve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bu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şekilde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kullanılması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esastır.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Somut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olayda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da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değerlendirme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konusu şeklin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lastiklerde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desen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olarak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değil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de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yanak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diye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tabir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edilen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yan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yüzeyde,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markaların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2"/>
        </w:rPr>
        <w:t>konum</w:t>
      </w:r>
      <w:r w:rsidRPr="000B7ECE">
        <w:rPr>
          <w:rFonts w:asciiTheme="minorHAnsi" w:hAnsiTheme="minorHAnsi" w:cstheme="minorHAnsi"/>
        </w:rPr>
        <w:t>landırıldığı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bölgede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ticari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köken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gösterir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şekilde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kullanılması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beklenir.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Ancak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bu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>tarz</w:t>
      </w:r>
      <w:r w:rsidRPr="000B7ECE">
        <w:rPr>
          <w:rFonts w:asciiTheme="minorHAnsi" w:hAnsiTheme="minorHAnsi" w:cstheme="minorHAnsi"/>
          <w:spacing w:val="-6"/>
        </w:rPr>
        <w:t xml:space="preserve"> </w:t>
      </w:r>
      <w:r w:rsidRPr="000B7ECE">
        <w:rPr>
          <w:rFonts w:asciiTheme="minorHAnsi" w:hAnsiTheme="minorHAnsi" w:cstheme="minorHAnsi"/>
        </w:rPr>
        <w:t xml:space="preserve">markaların </w:t>
      </w:r>
      <w:r w:rsidRPr="000B7ECE">
        <w:rPr>
          <w:rFonts w:asciiTheme="minorHAnsi" w:hAnsiTheme="minorHAnsi" w:cstheme="minorHAnsi"/>
          <w:spacing w:val="-2"/>
        </w:rPr>
        <w:t>koruma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kapsamının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marka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hukuku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açısından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sınırlarının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net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olarak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çizilmesi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her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zaman</w:t>
      </w:r>
      <w:r w:rsidRPr="000B7ECE">
        <w:rPr>
          <w:rFonts w:asciiTheme="minorHAnsi" w:hAnsiTheme="minorHAnsi" w:cstheme="minorHAnsi"/>
          <w:spacing w:val="-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 xml:space="preserve">mümkün </w:t>
      </w:r>
      <w:r w:rsidRPr="000B7ECE">
        <w:rPr>
          <w:rFonts w:asciiTheme="minorHAnsi" w:hAnsiTheme="minorHAnsi" w:cstheme="minorHAnsi"/>
          <w:spacing w:val="-4"/>
        </w:rPr>
        <w:t>olmadığından,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firmaların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zaman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zaman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bu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tarz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şekilleri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marka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olarak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tescil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etme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eğilimleri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 xml:space="preserve">olduğu </w:t>
      </w:r>
      <w:r w:rsidRPr="000B7ECE">
        <w:rPr>
          <w:rFonts w:asciiTheme="minorHAnsi" w:hAnsiTheme="minorHAnsi" w:cstheme="minorHAnsi"/>
        </w:rPr>
        <w:t>da bir gerçektir.</w:t>
      </w:r>
    </w:p>
    <w:p w:rsidR="000B7ECE" w:rsidRPr="000B7ECE" w:rsidRDefault="000B7ECE" w:rsidP="000B7ECE">
      <w:pPr>
        <w:pStyle w:val="GvdeMetni"/>
        <w:kinsoku w:val="0"/>
        <w:overflowPunct w:val="0"/>
        <w:spacing w:before="213" w:line="230" w:lineRule="auto"/>
        <w:ind w:left="183" w:right="112"/>
        <w:jc w:val="both"/>
        <w:rPr>
          <w:rFonts w:asciiTheme="minorHAnsi" w:hAnsiTheme="minorHAnsi" w:cstheme="minorHAnsi"/>
          <w:spacing w:val="-4"/>
        </w:rPr>
      </w:pPr>
      <w:r w:rsidRPr="000B7ECE">
        <w:rPr>
          <w:rFonts w:asciiTheme="minorHAnsi" w:hAnsiTheme="minorHAnsi" w:cstheme="minorHAnsi"/>
        </w:rPr>
        <w:t>Değerlendirme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konusu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işaret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gibi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şekil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markalarında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şeklin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tescile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konu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</w:rPr>
        <w:t>ürünlere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proofErr w:type="gramStart"/>
      <w:r w:rsidRPr="000B7ECE">
        <w:rPr>
          <w:rFonts w:asciiTheme="minorHAnsi" w:hAnsiTheme="minorHAnsi" w:cstheme="minorHAnsi"/>
        </w:rPr>
        <w:t>entegre</w:t>
      </w:r>
      <w:proofErr w:type="gramEnd"/>
      <w:r w:rsidRPr="000B7ECE">
        <w:rPr>
          <w:rFonts w:asciiTheme="minorHAnsi" w:hAnsiTheme="minorHAnsi" w:cstheme="minorHAnsi"/>
        </w:rPr>
        <w:t>/tatbik edilmiş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halinin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de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göz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önüne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alınarak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genişletici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bir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yorumla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değerlendirmeye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tabi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tutulmasının nedeni sınai mülkiyet sisteminde sınırlı koruma süresi öngörülen patent hakkının, sınırlı süreli korumaya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>tabi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>olmayan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>marka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>koruması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>şeklinde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>tescil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>edilerek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>koruma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>süresinin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>haksız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</w:rPr>
        <w:t xml:space="preserve">olarak </w:t>
      </w:r>
      <w:r w:rsidRPr="000B7ECE">
        <w:rPr>
          <w:rFonts w:asciiTheme="minorHAnsi" w:hAnsiTheme="minorHAnsi" w:cstheme="minorHAnsi"/>
          <w:spacing w:val="-4"/>
        </w:rPr>
        <w:t>uzatılmasının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önüne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geçmek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olduğu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belirtilmelidir.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Her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ne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kadar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bu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saik,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kamu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yararını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gözetse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de uygulamada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zaman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zaman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belirsizliğe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neden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olduğu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görülmektedir.</w:t>
      </w:r>
    </w:p>
    <w:p w:rsidR="000B7ECE" w:rsidRPr="000B7ECE" w:rsidRDefault="000B7ECE" w:rsidP="000B7ECE">
      <w:pPr>
        <w:pStyle w:val="GvdeMetni"/>
        <w:kinsoku w:val="0"/>
        <w:overflowPunct w:val="0"/>
        <w:spacing w:before="207" w:line="230" w:lineRule="auto"/>
        <w:ind w:left="183" w:right="112"/>
        <w:jc w:val="both"/>
        <w:rPr>
          <w:rFonts w:asciiTheme="minorHAnsi" w:hAnsiTheme="minorHAnsi" w:cstheme="minorHAnsi"/>
          <w:spacing w:val="-2"/>
        </w:rPr>
      </w:pPr>
      <w:r w:rsidRPr="000B7ECE">
        <w:rPr>
          <w:rFonts w:asciiTheme="minorHAnsi" w:hAnsiTheme="minorHAnsi" w:cstheme="minorHAnsi"/>
        </w:rPr>
        <w:lastRenderedPageBreak/>
        <w:t>Somut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olaydan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da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görüleceği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üzere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oluk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şeklinin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tek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başına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teknik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işlev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göremeyeceğine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ilişkin olarak</w:t>
      </w:r>
      <w:r w:rsidRPr="000B7ECE">
        <w:rPr>
          <w:rFonts w:asciiTheme="minorHAnsi" w:hAnsiTheme="minorHAnsi" w:cstheme="minorHAnsi"/>
          <w:spacing w:val="-16"/>
        </w:rPr>
        <w:t xml:space="preserve"> </w:t>
      </w:r>
      <w:r w:rsidRPr="000B7ECE">
        <w:rPr>
          <w:rFonts w:asciiTheme="minorHAnsi" w:hAnsiTheme="minorHAnsi" w:cstheme="minorHAnsi"/>
        </w:rPr>
        <w:t>getirilen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açıklamalar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tartışmaya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açıktır.</w:t>
      </w:r>
      <w:r w:rsidRPr="000B7ECE">
        <w:rPr>
          <w:rFonts w:asciiTheme="minorHAnsi" w:hAnsiTheme="minorHAnsi" w:cstheme="minorHAnsi"/>
          <w:spacing w:val="-16"/>
        </w:rPr>
        <w:t xml:space="preserve"> </w:t>
      </w:r>
      <w:r w:rsidRPr="000B7ECE">
        <w:rPr>
          <w:rFonts w:asciiTheme="minorHAnsi" w:hAnsiTheme="minorHAnsi" w:cstheme="minorHAnsi"/>
        </w:rPr>
        <w:t>Genel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Mahkeme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tek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bir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oluk</w:t>
      </w:r>
      <w:r w:rsidRPr="000B7ECE">
        <w:rPr>
          <w:rFonts w:asciiTheme="minorHAnsi" w:hAnsiTheme="minorHAnsi" w:cstheme="minorHAnsi"/>
          <w:spacing w:val="-16"/>
        </w:rPr>
        <w:t xml:space="preserve"> </w:t>
      </w:r>
      <w:r w:rsidRPr="000B7ECE">
        <w:rPr>
          <w:rFonts w:asciiTheme="minorHAnsi" w:hAnsiTheme="minorHAnsi" w:cstheme="minorHAnsi"/>
        </w:rPr>
        <w:t>şeklinin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 xml:space="preserve">münhasıran </w:t>
      </w:r>
      <w:r w:rsidRPr="000B7ECE">
        <w:rPr>
          <w:rFonts w:asciiTheme="minorHAnsi" w:hAnsiTheme="minorHAnsi" w:cstheme="minorHAnsi"/>
          <w:spacing w:val="-2"/>
        </w:rPr>
        <w:t>teknik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işlev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göremeyeceğine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ilişkin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yaptığı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değerlendirmede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tek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başına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bu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desenden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oluşan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 xml:space="preserve">bir </w:t>
      </w:r>
      <w:r w:rsidRPr="000B7ECE">
        <w:rPr>
          <w:rFonts w:asciiTheme="minorHAnsi" w:hAnsiTheme="minorHAnsi" w:cstheme="minorHAnsi"/>
        </w:rPr>
        <w:t>ürün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olmadığını,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karşı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tarafın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delil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olarak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sunduğu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tek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desenden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oluşan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teker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deseninin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ise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farklı olduğunu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belirtmiştir.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Teknik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bir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sonucu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elde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etmek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için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zorunlu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olan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işaret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değerlendirmesinde ret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için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gerçekten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böyle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bir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ürünün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olması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zorunluluk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mudur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yoksa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şeklin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bu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işlevi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</w:rPr>
        <w:t>görme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>
        <w:rPr>
          <w:rFonts w:asciiTheme="minorHAnsi" w:hAnsiTheme="minorHAnsi" w:cstheme="minorHAnsi"/>
        </w:rPr>
        <w:t>kapasi</w:t>
      </w:r>
      <w:r w:rsidRPr="000B7ECE">
        <w:rPr>
          <w:rFonts w:asciiTheme="minorHAnsi" w:hAnsiTheme="minorHAnsi" w:cstheme="minorHAnsi"/>
        </w:rPr>
        <w:t>tesinin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olması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yeterli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mi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kabul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edilmelidir?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Şayet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inceleme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konusu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şeklin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bir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oluk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şekli</w:t>
      </w:r>
      <w:r w:rsidRPr="000B7ECE">
        <w:rPr>
          <w:rFonts w:asciiTheme="minorHAnsi" w:hAnsiTheme="minorHAnsi" w:cstheme="minorHAnsi"/>
          <w:spacing w:val="-2"/>
        </w:rPr>
        <w:t xml:space="preserve"> </w:t>
      </w:r>
      <w:r w:rsidRPr="000B7ECE">
        <w:rPr>
          <w:rFonts w:asciiTheme="minorHAnsi" w:hAnsiTheme="minorHAnsi" w:cstheme="minorHAnsi"/>
        </w:rPr>
        <w:t>olduğunu kabul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ediliyorsa,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oluk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şeklinin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lastiklerde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göreceği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işlev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zaten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bellidir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(frenleme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>performansını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</w:rPr>
        <w:t xml:space="preserve">ve </w:t>
      </w:r>
      <w:r w:rsidRPr="000B7ECE">
        <w:rPr>
          <w:rFonts w:asciiTheme="minorHAnsi" w:hAnsiTheme="minorHAnsi" w:cstheme="minorHAnsi"/>
          <w:spacing w:val="-4"/>
        </w:rPr>
        <w:t>direksiyon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hâkimiyetini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artırmak),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ayrıca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böyle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bir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desenden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müteşekkil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ürünün</w:t>
      </w:r>
      <w:r w:rsidRPr="000B7ECE">
        <w:rPr>
          <w:rFonts w:asciiTheme="minorHAnsi" w:hAnsiTheme="minorHAnsi" w:cstheme="minorHAnsi"/>
          <w:spacing w:val="-10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olmasının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  <w:spacing w:val="-4"/>
        </w:rPr>
        <w:t>aranma</w:t>
      </w:r>
      <w:r w:rsidRPr="000B7ECE">
        <w:rPr>
          <w:rFonts w:asciiTheme="minorHAnsi" w:hAnsiTheme="minorHAnsi" w:cstheme="minorHAnsi"/>
        </w:rPr>
        <w:t>sı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gerekmez.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İlgili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sektörde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yapılan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aramalarda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özellikle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motosikletlerde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kullanılan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>lastiklerin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</w:rPr>
        <w:t xml:space="preserve">tek </w:t>
      </w:r>
      <w:r w:rsidRPr="000B7ECE">
        <w:rPr>
          <w:rFonts w:asciiTheme="minorHAnsi" w:hAnsiTheme="minorHAnsi" w:cstheme="minorHAnsi"/>
          <w:spacing w:val="-2"/>
        </w:rPr>
        <w:t>desenden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oluşabildiği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de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görülmektedir.</w:t>
      </w:r>
    </w:p>
    <w:p w:rsidR="000B7ECE" w:rsidRPr="000B7ECE" w:rsidRDefault="000B7ECE" w:rsidP="000B7ECE">
      <w:pPr>
        <w:pStyle w:val="GvdeMetni"/>
        <w:kinsoku w:val="0"/>
        <w:overflowPunct w:val="0"/>
        <w:spacing w:before="212" w:line="230" w:lineRule="auto"/>
        <w:ind w:left="183" w:right="112"/>
        <w:jc w:val="both"/>
        <w:rPr>
          <w:rFonts w:asciiTheme="minorHAnsi" w:hAnsiTheme="minorHAnsi" w:cstheme="minorHAnsi"/>
          <w:spacing w:val="-4"/>
        </w:rPr>
      </w:pPr>
      <w:r w:rsidRPr="000B7ECE">
        <w:rPr>
          <w:rFonts w:asciiTheme="minorHAnsi" w:hAnsiTheme="minorHAnsi" w:cstheme="minorHAnsi"/>
        </w:rPr>
        <w:t>İnceleme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konusu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şeklin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redde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konu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edilmemesi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gerektiğine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ilişkin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olarak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getirilen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bir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diğer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açık- lama ise tek bir oluk şeklinin tescilinin Pirelli’nin rakiplerini aynı oluk şeklini ürünlerinde farklı unsurlarla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birlikte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dış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lastik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deseninde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kullanmasına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engel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teşkil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edemeyeceğidir.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>Esas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</w:rPr>
        <w:t xml:space="preserve">itibarıyla, bu yorum da konuya açıklık getirmekten uzaktır zira bu şekille birlikte kullanılan başka şekiller zaten bütün olarak farklı bir deseni veya şekli oluşturacaktır. Farklı bir şekilden oluşan kullanım </w:t>
      </w:r>
      <w:r w:rsidRPr="000B7ECE">
        <w:rPr>
          <w:rFonts w:asciiTheme="minorHAnsi" w:hAnsiTheme="minorHAnsi" w:cstheme="minorHAnsi"/>
          <w:spacing w:val="-2"/>
        </w:rPr>
        <w:t>zaten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tescil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sahibini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rahatsız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etmeyecek,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rahatsız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etse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dahi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şekle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istinaden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koruma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talep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 xml:space="preserve">edilmesi </w:t>
      </w:r>
      <w:r w:rsidRPr="000B7ECE">
        <w:rPr>
          <w:rFonts w:asciiTheme="minorHAnsi" w:hAnsiTheme="minorHAnsi" w:cstheme="minorHAnsi"/>
          <w:spacing w:val="-4"/>
        </w:rPr>
        <w:t>durumunda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bu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talep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haklı</w:t>
      </w:r>
      <w:r w:rsidRPr="000B7ECE">
        <w:rPr>
          <w:rFonts w:asciiTheme="minorHAnsi" w:hAnsiTheme="minorHAnsi" w:cstheme="minorHAnsi"/>
          <w:spacing w:val="-5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bulunmayacaktır.</w:t>
      </w:r>
    </w:p>
    <w:p w:rsidR="000B7ECE" w:rsidRPr="000B7ECE" w:rsidRDefault="000B7ECE" w:rsidP="000B7ECE">
      <w:pPr>
        <w:pStyle w:val="GvdeMetni"/>
        <w:kinsoku w:val="0"/>
        <w:overflowPunct w:val="0"/>
        <w:spacing w:before="207" w:line="230" w:lineRule="auto"/>
        <w:ind w:left="183" w:right="112"/>
        <w:jc w:val="both"/>
        <w:rPr>
          <w:rFonts w:asciiTheme="minorHAnsi" w:hAnsiTheme="minorHAnsi" w:cstheme="minorHAnsi"/>
          <w:spacing w:val="-4"/>
        </w:rPr>
      </w:pPr>
      <w:r w:rsidRPr="000B7ECE">
        <w:rPr>
          <w:rFonts w:asciiTheme="minorHAnsi" w:hAnsiTheme="minorHAnsi" w:cstheme="minorHAnsi"/>
          <w:spacing w:val="-2"/>
        </w:rPr>
        <w:t>Özetlemek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gerekirse,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40/94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sayılı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0B7ECE">
        <w:rPr>
          <w:rFonts w:asciiTheme="minorHAnsi" w:hAnsiTheme="minorHAnsi" w:cstheme="minorHAnsi"/>
          <w:spacing w:val="-2"/>
        </w:rPr>
        <w:t>Tüzük’ün</w:t>
      </w:r>
      <w:proofErr w:type="spellEnd"/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7/1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(e)-(ii)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bendi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(6769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s.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0B7ECE">
        <w:rPr>
          <w:rFonts w:asciiTheme="minorHAnsi" w:hAnsiTheme="minorHAnsi" w:cstheme="minorHAnsi"/>
          <w:spacing w:val="-2"/>
        </w:rPr>
        <w:t>SMK’nın</w:t>
      </w:r>
      <w:proofErr w:type="spellEnd"/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5/1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(e)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bendi)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ile</w:t>
      </w:r>
      <w:r w:rsidRPr="000B7ECE"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  <w:spacing w:val="-2"/>
        </w:rPr>
        <w:t>ko</w:t>
      </w:r>
      <w:r w:rsidRPr="000B7ECE">
        <w:rPr>
          <w:rFonts w:asciiTheme="minorHAnsi" w:hAnsiTheme="minorHAnsi" w:cstheme="minorHAnsi"/>
          <w:spacing w:val="-4"/>
        </w:rPr>
        <w:t>runmak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istenen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kamu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çıkarının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dar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anlamda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yorumlanmasının,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kamuya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mal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olması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gereken</w:t>
      </w:r>
      <w:r w:rsidRPr="000B7ECE"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4"/>
        </w:rPr>
        <w:t>şekil</w:t>
      </w:r>
      <w:r w:rsidRPr="000B7ECE">
        <w:rPr>
          <w:rFonts w:asciiTheme="minorHAnsi" w:hAnsiTheme="minorHAnsi" w:cstheme="minorHAnsi"/>
        </w:rPr>
        <w:t>lerin</w:t>
      </w:r>
      <w:r w:rsidRPr="000B7ECE">
        <w:rPr>
          <w:rFonts w:asciiTheme="minorHAnsi" w:hAnsiTheme="minorHAnsi" w:cstheme="minorHAnsi"/>
          <w:spacing w:val="-16"/>
        </w:rPr>
        <w:t xml:space="preserve"> </w:t>
      </w:r>
      <w:r w:rsidRPr="000B7ECE">
        <w:rPr>
          <w:rFonts w:asciiTheme="minorHAnsi" w:hAnsiTheme="minorHAnsi" w:cstheme="minorHAnsi"/>
        </w:rPr>
        <w:t>haksız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olarak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birilerinin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tekeline</w:t>
      </w:r>
      <w:r w:rsidRPr="000B7ECE">
        <w:rPr>
          <w:rFonts w:asciiTheme="minorHAnsi" w:hAnsiTheme="minorHAnsi" w:cstheme="minorHAnsi"/>
          <w:spacing w:val="-16"/>
        </w:rPr>
        <w:t xml:space="preserve"> </w:t>
      </w:r>
      <w:r w:rsidRPr="000B7ECE">
        <w:rPr>
          <w:rFonts w:asciiTheme="minorHAnsi" w:hAnsiTheme="minorHAnsi" w:cstheme="minorHAnsi"/>
        </w:rPr>
        <w:t>verilmesi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açısından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kamu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yararını</w:t>
      </w:r>
      <w:r w:rsidRPr="000B7ECE">
        <w:rPr>
          <w:rFonts w:asciiTheme="minorHAnsi" w:hAnsiTheme="minorHAnsi" w:cstheme="minorHAnsi"/>
          <w:spacing w:val="-16"/>
        </w:rPr>
        <w:t xml:space="preserve"> </w:t>
      </w:r>
      <w:r w:rsidRPr="000B7ECE">
        <w:rPr>
          <w:rFonts w:asciiTheme="minorHAnsi" w:hAnsiTheme="minorHAnsi" w:cstheme="minorHAnsi"/>
        </w:rPr>
        <w:t>zarara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>uğratacağı</w:t>
      </w:r>
      <w:r w:rsidRPr="000B7ECE">
        <w:rPr>
          <w:rFonts w:asciiTheme="minorHAnsi" w:hAnsiTheme="minorHAnsi" w:cstheme="minorHAnsi"/>
          <w:spacing w:val="-15"/>
        </w:rPr>
        <w:t xml:space="preserve"> </w:t>
      </w:r>
      <w:r w:rsidRPr="000B7ECE">
        <w:rPr>
          <w:rFonts w:asciiTheme="minorHAnsi" w:hAnsiTheme="minorHAnsi" w:cstheme="minorHAnsi"/>
        </w:rPr>
        <w:t xml:space="preserve">açıktır. </w:t>
      </w:r>
      <w:r w:rsidRPr="000B7ECE">
        <w:rPr>
          <w:rFonts w:asciiTheme="minorHAnsi" w:hAnsiTheme="minorHAnsi" w:cstheme="minorHAnsi"/>
          <w:w w:val="90"/>
        </w:rPr>
        <w:t>Ancak, bendin geniş yorumlanmasında da somut olayda görüldüğü üzere muğlaklıklar bulunduğu yadsınamaz bir gerçektir. Konu hakkında daha fazla netlik için Türkiye’de ve Avrupa’</w:t>
      </w:r>
      <w:r>
        <w:rPr>
          <w:rFonts w:asciiTheme="minorHAnsi" w:hAnsiTheme="minorHAnsi" w:cstheme="minorHAnsi"/>
          <w:w w:val="90"/>
        </w:rPr>
        <w:t>da mahkeme</w:t>
      </w:r>
      <w:r w:rsidRPr="000B7ECE">
        <w:rPr>
          <w:rFonts w:asciiTheme="minorHAnsi" w:hAnsiTheme="minorHAnsi" w:cstheme="minorHAnsi"/>
          <w:spacing w:val="-4"/>
        </w:rPr>
        <w:t>lerin</w:t>
      </w:r>
      <w:r w:rsidRPr="000B7ECE">
        <w:rPr>
          <w:rFonts w:asciiTheme="minorHAnsi" w:hAnsiTheme="minorHAnsi" w:cstheme="minorHAnsi"/>
          <w:spacing w:val="16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yeni</w:t>
      </w:r>
      <w:r w:rsidRPr="000B7ECE">
        <w:rPr>
          <w:rFonts w:asciiTheme="minorHAnsi" w:hAnsiTheme="minorHAnsi" w:cstheme="minorHAnsi"/>
          <w:spacing w:val="16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yorumlarına</w:t>
      </w:r>
      <w:r w:rsidRPr="000B7ECE">
        <w:rPr>
          <w:rFonts w:asciiTheme="minorHAnsi" w:hAnsiTheme="minorHAnsi" w:cstheme="minorHAnsi"/>
          <w:spacing w:val="16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ihtiyaç</w:t>
      </w:r>
      <w:r w:rsidRPr="000B7ECE">
        <w:rPr>
          <w:rFonts w:asciiTheme="minorHAnsi" w:hAnsiTheme="minorHAnsi" w:cstheme="minorHAnsi"/>
          <w:spacing w:val="16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duyulmaktadır.</w:t>
      </w:r>
      <w:r w:rsidRPr="000B7ECE">
        <w:rPr>
          <w:rFonts w:asciiTheme="minorHAnsi" w:hAnsiTheme="minorHAnsi" w:cstheme="minorHAnsi"/>
          <w:spacing w:val="16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Kanaatimizce,</w:t>
      </w:r>
      <w:r w:rsidRPr="000B7ECE">
        <w:rPr>
          <w:rFonts w:asciiTheme="minorHAnsi" w:hAnsiTheme="minorHAnsi" w:cstheme="minorHAnsi"/>
          <w:spacing w:val="16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koruma</w:t>
      </w:r>
      <w:r w:rsidRPr="000B7ECE">
        <w:rPr>
          <w:rFonts w:asciiTheme="minorHAnsi" w:hAnsiTheme="minorHAnsi" w:cstheme="minorHAnsi"/>
          <w:spacing w:val="16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kapsamının</w:t>
      </w:r>
      <w:r w:rsidRPr="000B7ECE">
        <w:rPr>
          <w:rFonts w:asciiTheme="minorHAnsi" w:hAnsiTheme="minorHAnsi" w:cstheme="minorHAnsi"/>
          <w:spacing w:val="16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marka</w:t>
      </w:r>
      <w:r w:rsidRPr="000B7ECE">
        <w:rPr>
          <w:rFonts w:asciiTheme="minorHAnsi" w:hAnsiTheme="minorHAnsi" w:cstheme="minorHAnsi"/>
          <w:spacing w:val="17"/>
        </w:rPr>
        <w:t xml:space="preserve"> </w:t>
      </w:r>
      <w:r>
        <w:rPr>
          <w:rFonts w:asciiTheme="minorHAnsi" w:hAnsiTheme="minorHAnsi" w:cstheme="minorHAnsi"/>
          <w:spacing w:val="-4"/>
        </w:rPr>
        <w:t xml:space="preserve">hukuku </w:t>
      </w:r>
      <w:r w:rsidRPr="000B7ECE">
        <w:rPr>
          <w:rFonts w:asciiTheme="minorHAnsi" w:hAnsiTheme="minorHAnsi" w:cstheme="minorHAnsi"/>
          <w:spacing w:val="-2"/>
        </w:rPr>
        <w:t>açısından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sınırlarının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net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olarak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çizilmesi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mümkün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olmayan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marka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türleri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için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(özellikle</w:t>
      </w:r>
      <w:r w:rsidRPr="000B7ECE">
        <w:rPr>
          <w:rFonts w:asciiTheme="minorHAnsi" w:hAnsiTheme="minorHAnsi" w:cstheme="minorHAnsi"/>
          <w:spacing w:val="-8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 xml:space="preserve">geleneksel </w:t>
      </w:r>
      <w:r w:rsidRPr="000B7ECE">
        <w:rPr>
          <w:rFonts w:asciiTheme="minorHAnsi" w:hAnsiTheme="minorHAnsi" w:cstheme="minorHAnsi"/>
          <w:spacing w:val="-6"/>
        </w:rPr>
        <w:t>olmayan markalar ile somut olayda gördüğümüz gibi teknik işlev gö</w:t>
      </w:r>
      <w:r>
        <w:rPr>
          <w:rFonts w:asciiTheme="minorHAnsi" w:hAnsiTheme="minorHAnsi" w:cstheme="minorHAnsi"/>
          <w:spacing w:val="-6"/>
        </w:rPr>
        <w:t>rme potansiyeli olan şekil mar</w:t>
      </w:r>
      <w:r w:rsidRPr="000B7ECE">
        <w:rPr>
          <w:rFonts w:asciiTheme="minorHAnsi" w:hAnsiTheme="minorHAnsi" w:cstheme="minorHAnsi"/>
          <w:w w:val="90"/>
        </w:rPr>
        <w:t xml:space="preserve">kaları) 5/1 (e) bendinin geniş yorumlanması daha uygun olacaktır. Zira bu tarz koruma kapsamında </w:t>
      </w:r>
      <w:r w:rsidRPr="000B7ECE">
        <w:rPr>
          <w:rFonts w:asciiTheme="minorHAnsi" w:hAnsiTheme="minorHAnsi" w:cstheme="minorHAnsi"/>
          <w:spacing w:val="-2"/>
        </w:rPr>
        <w:t>muğlaklık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barındıran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marka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tescilleri,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birilerinin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tekeline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verilmemesi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gereken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bir</w:t>
      </w:r>
      <w:r w:rsidRPr="000B7ECE">
        <w:rPr>
          <w:rFonts w:asciiTheme="minorHAnsi" w:hAnsiTheme="minorHAnsi" w:cstheme="minorHAnsi"/>
          <w:spacing w:val="-14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>hak</w:t>
      </w:r>
      <w:r w:rsidRPr="000B7ECE">
        <w:rPr>
          <w:rFonts w:asciiTheme="minorHAnsi" w:hAnsiTheme="minorHAnsi" w:cstheme="minorHAnsi"/>
          <w:spacing w:val="-13"/>
        </w:rPr>
        <w:t xml:space="preserve"> </w:t>
      </w:r>
      <w:r w:rsidRPr="000B7ECE">
        <w:rPr>
          <w:rFonts w:asciiTheme="minorHAnsi" w:hAnsiTheme="minorHAnsi" w:cstheme="minorHAnsi"/>
          <w:spacing w:val="-2"/>
        </w:rPr>
        <w:t xml:space="preserve">bahşederek, </w:t>
      </w:r>
      <w:r w:rsidRPr="000B7ECE">
        <w:rPr>
          <w:rFonts w:asciiTheme="minorHAnsi" w:hAnsiTheme="minorHAnsi" w:cstheme="minorHAnsi"/>
          <w:spacing w:val="-6"/>
        </w:rPr>
        <w:t xml:space="preserve">piyasada rekabeti bozucu etkiye neden olacaktır ki böyle bir durum 5/1 (e) bendinin ihdas edilme </w:t>
      </w:r>
      <w:r w:rsidRPr="000B7ECE">
        <w:rPr>
          <w:rFonts w:asciiTheme="minorHAnsi" w:hAnsiTheme="minorHAnsi" w:cstheme="minorHAnsi"/>
          <w:spacing w:val="-4"/>
        </w:rPr>
        <w:t>amacına</w:t>
      </w:r>
      <w:r w:rsidRPr="000B7ECE">
        <w:rPr>
          <w:rFonts w:asciiTheme="minorHAnsi" w:hAnsiTheme="minorHAnsi" w:cstheme="minorHAnsi"/>
          <w:spacing w:val="-12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uygun</w:t>
      </w:r>
      <w:r w:rsidRPr="000B7ECE">
        <w:rPr>
          <w:rFonts w:asciiTheme="minorHAnsi" w:hAnsiTheme="minorHAnsi" w:cstheme="minorHAnsi"/>
          <w:spacing w:val="-11"/>
        </w:rPr>
        <w:t xml:space="preserve"> </w:t>
      </w:r>
      <w:r w:rsidRPr="000B7ECE">
        <w:rPr>
          <w:rFonts w:asciiTheme="minorHAnsi" w:hAnsiTheme="minorHAnsi" w:cstheme="minorHAnsi"/>
          <w:spacing w:val="-4"/>
        </w:rPr>
        <w:t>düşmeyecektir.</w:t>
      </w:r>
    </w:p>
    <w:p w:rsidR="000B7ECE" w:rsidRDefault="000B7ECE" w:rsidP="000B7ECE">
      <w:pPr>
        <w:pStyle w:val="GvdeMetni"/>
        <w:kinsoku w:val="0"/>
        <w:overflowPunct w:val="0"/>
        <w:ind w:left="183"/>
        <w:jc w:val="both"/>
        <w:rPr>
          <w:rFonts w:asciiTheme="minorHAnsi" w:hAnsiTheme="minorHAnsi" w:cstheme="minorHAnsi"/>
          <w:spacing w:val="-2"/>
          <w:sz w:val="18"/>
          <w:szCs w:val="18"/>
        </w:rPr>
      </w:pPr>
    </w:p>
    <w:p w:rsidR="000B7ECE" w:rsidRDefault="000B7ECE" w:rsidP="000B7ECE">
      <w:pPr>
        <w:pStyle w:val="GvdeMetni"/>
        <w:kinsoku w:val="0"/>
        <w:overflowPunct w:val="0"/>
        <w:ind w:left="183"/>
        <w:jc w:val="both"/>
        <w:rPr>
          <w:rFonts w:asciiTheme="minorHAnsi" w:hAnsiTheme="minorHAnsi" w:cstheme="minorHAnsi"/>
          <w:spacing w:val="-2"/>
          <w:sz w:val="18"/>
          <w:szCs w:val="18"/>
        </w:rPr>
      </w:pPr>
    </w:p>
    <w:p w:rsidR="000B7ECE" w:rsidRPr="000B7ECE" w:rsidRDefault="000B7ECE" w:rsidP="000B7ECE">
      <w:pPr>
        <w:pStyle w:val="GvdeMetni"/>
        <w:kinsoku w:val="0"/>
        <w:overflowPunct w:val="0"/>
        <w:ind w:left="183"/>
        <w:jc w:val="both"/>
        <w:rPr>
          <w:rFonts w:asciiTheme="minorHAnsi" w:hAnsiTheme="minorHAnsi" w:cstheme="minorHAnsi"/>
          <w:spacing w:val="-6"/>
          <w:sz w:val="18"/>
          <w:szCs w:val="18"/>
        </w:rPr>
      </w:pPr>
      <w:r w:rsidRPr="000B7ECE">
        <w:rPr>
          <w:rFonts w:asciiTheme="minorHAnsi" w:hAnsiTheme="minorHAnsi" w:cstheme="minorHAnsi"/>
          <w:spacing w:val="-2"/>
          <w:sz w:val="18"/>
          <w:szCs w:val="18"/>
        </w:rPr>
        <w:t>*Sınai</w:t>
      </w:r>
      <w:r w:rsidRPr="000B7ECE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spacing w:val="-2"/>
          <w:sz w:val="18"/>
          <w:szCs w:val="18"/>
        </w:rPr>
        <w:t>Mülkiyet</w:t>
      </w:r>
      <w:r w:rsidRPr="000B7ECE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spacing w:val="-2"/>
          <w:sz w:val="18"/>
          <w:szCs w:val="18"/>
        </w:rPr>
        <w:t>Uzmanı,</w:t>
      </w:r>
      <w:r w:rsidRPr="000B7ECE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spacing w:val="-2"/>
          <w:sz w:val="18"/>
          <w:szCs w:val="18"/>
        </w:rPr>
        <w:t>Türk</w:t>
      </w:r>
      <w:r w:rsidRPr="000B7ECE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spacing w:val="-2"/>
          <w:sz w:val="18"/>
          <w:szCs w:val="18"/>
        </w:rPr>
        <w:t>Patent</w:t>
      </w:r>
      <w:r w:rsidRPr="000B7ECE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spacing w:val="-2"/>
          <w:sz w:val="18"/>
          <w:szCs w:val="18"/>
        </w:rPr>
        <w:t>ve</w:t>
      </w:r>
      <w:r w:rsidRPr="000B7ECE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spacing w:val="-2"/>
          <w:sz w:val="18"/>
          <w:szCs w:val="18"/>
        </w:rPr>
        <w:t>Marka</w:t>
      </w:r>
      <w:r w:rsidRPr="000B7ECE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0B7ECE">
        <w:rPr>
          <w:rFonts w:asciiTheme="minorHAnsi" w:hAnsiTheme="minorHAnsi" w:cstheme="minorHAnsi"/>
          <w:spacing w:val="-2"/>
          <w:sz w:val="18"/>
          <w:szCs w:val="18"/>
        </w:rPr>
        <w:t>Kurumu,</w:t>
      </w:r>
      <w:r w:rsidRPr="000B7ECE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hyperlink r:id="rId8" w:history="1">
        <w:r w:rsidRPr="000B7ECE">
          <w:rPr>
            <w:rFonts w:asciiTheme="minorHAnsi" w:hAnsiTheme="minorHAnsi" w:cstheme="minorHAnsi"/>
            <w:spacing w:val="-6"/>
            <w:sz w:val="18"/>
            <w:szCs w:val="18"/>
          </w:rPr>
          <w:t>vatanseverman@yahoo.com</w:t>
        </w:r>
      </w:hyperlink>
    </w:p>
    <w:p w:rsidR="00164C4B" w:rsidRPr="000B7ECE" w:rsidRDefault="00164C4B">
      <w:pPr>
        <w:rPr>
          <w:rFonts w:asciiTheme="minorHAnsi" w:hAnsiTheme="minorHAnsi" w:cstheme="minorHAnsi"/>
        </w:rPr>
      </w:pPr>
    </w:p>
    <w:sectPr w:rsidR="00164C4B" w:rsidRPr="000B7ECE" w:rsidSect="00DF4A05">
      <w:headerReference w:type="default" r:id="rId9"/>
      <w:footerReference w:type="default" r:id="rId10"/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ECE" w:rsidRDefault="000B7ECE" w:rsidP="000B7ECE">
      <w:r>
        <w:separator/>
      </w:r>
    </w:p>
  </w:endnote>
  <w:endnote w:type="continuationSeparator" w:id="0">
    <w:p w:rsidR="000B7ECE" w:rsidRDefault="000B7ECE" w:rsidP="000B7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B17" w:rsidRDefault="000B7ECE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ECE" w:rsidRDefault="000B7ECE" w:rsidP="000B7ECE">
      <w:r>
        <w:separator/>
      </w:r>
    </w:p>
  </w:footnote>
  <w:footnote w:type="continuationSeparator" w:id="0">
    <w:p w:rsidR="000B7ECE" w:rsidRDefault="000B7ECE" w:rsidP="000B7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B17" w:rsidRDefault="000B7ECE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1" locked="0" layoutInCell="0" allowOverlap="1">
              <wp:simplePos x="0" y="0"/>
              <wp:positionH relativeFrom="page">
                <wp:posOffset>801370</wp:posOffset>
              </wp:positionH>
              <wp:positionV relativeFrom="page">
                <wp:posOffset>464820</wp:posOffset>
              </wp:positionV>
              <wp:extent cx="2985135" cy="207010"/>
              <wp:effectExtent l="1270" t="0" r="4445" b="4445"/>
              <wp:wrapNone/>
              <wp:docPr id="10" name="Metin Kutusu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513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B17" w:rsidRDefault="000B7ECE">
                          <w:pPr>
                            <w:pStyle w:val="GvdeMetni"/>
                            <w:kinsoku w:val="0"/>
                            <w:overflowPunct w:val="0"/>
                            <w:spacing w:before="22"/>
                            <w:ind w:left="20"/>
                            <w:rPr>
                              <w:color w:val="FFFFFF"/>
                              <w:spacing w:val="10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FİKRİ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GÜNDEM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 xml:space="preserve"> /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AIPPI</w:t>
                          </w:r>
                          <w:r>
                            <w:rPr>
                              <w:color w:val="FFFFFF"/>
                              <w:spacing w:val="3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Türkiye</w:t>
                          </w:r>
                          <w:r>
                            <w:rPr>
                              <w:color w:val="FFFFFF"/>
                              <w:spacing w:val="4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0"/>
                              <w:sz w:val="23"/>
                              <w:szCs w:val="23"/>
                            </w:rPr>
                            <w:t>Bülteni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0" o:spid="_x0000_s1027" type="#_x0000_t202" style="position:absolute;margin-left:63.1pt;margin-top:36.6pt;width:235.05pt;height:16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" o:allowincell="f" filled="f" stroked="f">
              <v:textbox inset="0,0,0,0">
                <w:txbxContent>
                  <w:p w:rsidR="002F6B17" w:rsidRDefault="000B7ECE">
                    <w:pPr>
                      <w:pStyle w:val="GvdeMetni"/>
                      <w:kinsoku w:val="0"/>
                      <w:overflowPunct w:val="0"/>
                      <w:spacing w:before="22"/>
                      <w:ind w:left="20"/>
                      <w:rPr>
                        <w:color w:val="FFFFFF"/>
                        <w:spacing w:val="10"/>
                        <w:sz w:val="23"/>
                        <w:szCs w:val="23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2"/>
                        <w:sz w:val="23"/>
                        <w:szCs w:val="23"/>
                      </w:rPr>
                      <w:t>FİKRİ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2"/>
                        <w:sz w:val="23"/>
                        <w:szCs w:val="23"/>
                      </w:rPr>
                      <w:t>GÜNDEM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z w:val="23"/>
                        <w:szCs w:val="23"/>
                      </w:rPr>
                      <w:t xml:space="preserve"> /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  <w:sz w:val="23"/>
                        <w:szCs w:val="23"/>
                      </w:rPr>
                      <w:t>AIPPI</w:t>
                    </w:r>
                    <w:r>
                      <w:rPr>
                        <w:color w:val="FFFFFF"/>
                        <w:spacing w:val="3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  <w:sz w:val="23"/>
                        <w:szCs w:val="23"/>
                      </w:rPr>
                      <w:t>Türkiye</w:t>
                    </w:r>
                    <w:r>
                      <w:rPr>
                        <w:color w:val="FFFFFF"/>
                        <w:spacing w:val="4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0"/>
                        <w:sz w:val="23"/>
                        <w:szCs w:val="23"/>
                      </w:rPr>
                      <w:t>Bülteni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6312535</wp:posOffset>
              </wp:positionH>
              <wp:positionV relativeFrom="page">
                <wp:posOffset>469265</wp:posOffset>
              </wp:positionV>
              <wp:extent cx="786130" cy="202565"/>
              <wp:effectExtent l="0" t="2540" r="0" b="4445"/>
              <wp:wrapNone/>
              <wp:docPr id="9" name="Metin Kutusu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613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B17" w:rsidRDefault="000B7ECE">
                          <w:pPr>
                            <w:pStyle w:val="GvdeMetni"/>
                            <w:kinsoku w:val="0"/>
                            <w:overflowPunct w:val="0"/>
                            <w:spacing w:before="15"/>
                            <w:ind w:left="20"/>
                            <w:rPr>
                              <w:color w:val="FFFFFF"/>
                              <w:spacing w:val="8"/>
                              <w:sz w:val="23"/>
                              <w:szCs w:val="23"/>
                            </w:rPr>
                          </w:pPr>
                          <w:r>
                            <w:rPr>
                              <w:color w:val="FFFFFF"/>
                              <w:spacing w:val="8"/>
                              <w:sz w:val="23"/>
                              <w:szCs w:val="23"/>
                            </w:rPr>
                            <w:t>Makaleler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Metin Kutusu 9" o:spid="_x0000_s1028" type="#_x0000_t202" style="position:absolute;margin-left:497.05pt;margin-top:36.95pt;width:61.9pt;height:15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" o:allowincell="f" filled="f" stroked="f">
              <v:textbox inset="0,0,0,0">
                <w:txbxContent>
                  <w:p w:rsidR="002F6B17" w:rsidRDefault="000B7ECE">
                    <w:pPr>
                      <w:pStyle w:val="GvdeMetni"/>
                      <w:kinsoku w:val="0"/>
                      <w:overflowPunct w:val="0"/>
                      <w:spacing w:before="15"/>
                      <w:ind w:left="20"/>
                      <w:rPr>
                        <w:color w:val="FFFFFF"/>
                        <w:spacing w:val="8"/>
                        <w:sz w:val="23"/>
                        <w:szCs w:val="23"/>
                      </w:rPr>
                    </w:pPr>
                    <w:r>
                      <w:rPr>
                        <w:color w:val="FFFFFF"/>
                        <w:spacing w:val="8"/>
                        <w:sz w:val="23"/>
                        <w:szCs w:val="23"/>
                      </w:rPr>
                      <w:t>Makaleler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543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502" w:hanging="360"/>
      </w:pPr>
    </w:lvl>
    <w:lvl w:ilvl="2">
      <w:numFmt w:val="bullet"/>
      <w:lvlText w:val="•"/>
      <w:lvlJc w:val="left"/>
      <w:pPr>
        <w:ind w:left="2464" w:hanging="360"/>
      </w:pPr>
    </w:lvl>
    <w:lvl w:ilvl="3">
      <w:numFmt w:val="bullet"/>
      <w:lvlText w:val="•"/>
      <w:lvlJc w:val="left"/>
      <w:pPr>
        <w:ind w:left="3426" w:hanging="360"/>
      </w:pPr>
    </w:lvl>
    <w:lvl w:ilvl="4">
      <w:numFmt w:val="bullet"/>
      <w:lvlText w:val="•"/>
      <w:lvlJc w:val="left"/>
      <w:pPr>
        <w:ind w:left="4388" w:hanging="360"/>
      </w:pPr>
    </w:lvl>
    <w:lvl w:ilvl="5">
      <w:numFmt w:val="bullet"/>
      <w:lvlText w:val="•"/>
      <w:lvlJc w:val="left"/>
      <w:pPr>
        <w:ind w:left="5350" w:hanging="360"/>
      </w:pPr>
    </w:lvl>
    <w:lvl w:ilvl="6">
      <w:numFmt w:val="bullet"/>
      <w:lvlText w:val="•"/>
      <w:lvlJc w:val="left"/>
      <w:pPr>
        <w:ind w:left="6312" w:hanging="360"/>
      </w:pPr>
    </w:lvl>
    <w:lvl w:ilvl="7">
      <w:numFmt w:val="bullet"/>
      <w:lvlText w:val="•"/>
      <w:lvlJc w:val="left"/>
      <w:pPr>
        <w:ind w:left="7274" w:hanging="360"/>
      </w:pPr>
    </w:lvl>
    <w:lvl w:ilvl="8">
      <w:numFmt w:val="bullet"/>
      <w:lvlText w:val="•"/>
      <w:lvlJc w:val="left"/>
      <w:pPr>
        <w:ind w:left="8236" w:hanging="36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upperRoman"/>
      <w:lvlText w:val="%1."/>
      <w:lvlJc w:val="left"/>
      <w:pPr>
        <w:ind w:left="374" w:hanging="191"/>
      </w:pPr>
      <w:rPr>
        <w:rFonts w:cs="Times New Roman"/>
        <w:spacing w:val="0"/>
        <w:w w:val="74"/>
      </w:rPr>
    </w:lvl>
    <w:lvl w:ilvl="1">
      <w:numFmt w:val="bullet"/>
      <w:lvlText w:val="•"/>
      <w:lvlJc w:val="left"/>
      <w:pPr>
        <w:ind w:left="1358" w:hanging="191"/>
      </w:pPr>
    </w:lvl>
    <w:lvl w:ilvl="2">
      <w:numFmt w:val="bullet"/>
      <w:lvlText w:val="•"/>
      <w:lvlJc w:val="left"/>
      <w:pPr>
        <w:ind w:left="2336" w:hanging="191"/>
      </w:pPr>
    </w:lvl>
    <w:lvl w:ilvl="3">
      <w:numFmt w:val="bullet"/>
      <w:lvlText w:val="•"/>
      <w:lvlJc w:val="left"/>
      <w:pPr>
        <w:ind w:left="3314" w:hanging="191"/>
      </w:pPr>
    </w:lvl>
    <w:lvl w:ilvl="4">
      <w:numFmt w:val="bullet"/>
      <w:lvlText w:val="•"/>
      <w:lvlJc w:val="left"/>
      <w:pPr>
        <w:ind w:left="4292" w:hanging="191"/>
      </w:pPr>
    </w:lvl>
    <w:lvl w:ilvl="5">
      <w:numFmt w:val="bullet"/>
      <w:lvlText w:val="•"/>
      <w:lvlJc w:val="left"/>
      <w:pPr>
        <w:ind w:left="5270" w:hanging="191"/>
      </w:pPr>
    </w:lvl>
    <w:lvl w:ilvl="6">
      <w:numFmt w:val="bullet"/>
      <w:lvlText w:val="•"/>
      <w:lvlJc w:val="left"/>
      <w:pPr>
        <w:ind w:left="6248" w:hanging="191"/>
      </w:pPr>
    </w:lvl>
    <w:lvl w:ilvl="7">
      <w:numFmt w:val="bullet"/>
      <w:lvlText w:val="•"/>
      <w:lvlJc w:val="left"/>
      <w:pPr>
        <w:ind w:left="7226" w:hanging="191"/>
      </w:pPr>
    </w:lvl>
    <w:lvl w:ilvl="8">
      <w:numFmt w:val="bullet"/>
      <w:lvlText w:val="•"/>
      <w:lvlJc w:val="left"/>
      <w:pPr>
        <w:ind w:left="8204" w:hanging="191"/>
      </w:pPr>
    </w:lvl>
  </w:abstractNum>
  <w:abstractNum w:abstractNumId="2" w15:restartNumberingAfterBreak="0">
    <w:nsid w:val="00000404"/>
    <w:multiLevelType w:val="multilevel"/>
    <w:tmpl w:val="FFFFFFFF"/>
    <w:lvl w:ilvl="0">
      <w:start w:val="2"/>
      <w:numFmt w:val="decimal"/>
      <w:lvlText w:val="%1"/>
      <w:lvlJc w:val="left"/>
      <w:pPr>
        <w:ind w:left="325" w:hanging="144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1304" w:hanging="144"/>
      </w:pPr>
    </w:lvl>
    <w:lvl w:ilvl="2">
      <w:numFmt w:val="bullet"/>
      <w:lvlText w:val="•"/>
      <w:lvlJc w:val="left"/>
      <w:pPr>
        <w:ind w:left="2288" w:hanging="144"/>
      </w:pPr>
    </w:lvl>
    <w:lvl w:ilvl="3">
      <w:numFmt w:val="bullet"/>
      <w:lvlText w:val="•"/>
      <w:lvlJc w:val="left"/>
      <w:pPr>
        <w:ind w:left="3272" w:hanging="144"/>
      </w:pPr>
    </w:lvl>
    <w:lvl w:ilvl="4">
      <w:numFmt w:val="bullet"/>
      <w:lvlText w:val="•"/>
      <w:lvlJc w:val="left"/>
      <w:pPr>
        <w:ind w:left="4256" w:hanging="144"/>
      </w:pPr>
    </w:lvl>
    <w:lvl w:ilvl="5">
      <w:numFmt w:val="bullet"/>
      <w:lvlText w:val="•"/>
      <w:lvlJc w:val="left"/>
      <w:pPr>
        <w:ind w:left="5240" w:hanging="144"/>
      </w:pPr>
    </w:lvl>
    <w:lvl w:ilvl="6">
      <w:numFmt w:val="bullet"/>
      <w:lvlText w:val="•"/>
      <w:lvlJc w:val="left"/>
      <w:pPr>
        <w:ind w:left="6224" w:hanging="144"/>
      </w:pPr>
    </w:lvl>
    <w:lvl w:ilvl="7">
      <w:numFmt w:val="bullet"/>
      <w:lvlText w:val="•"/>
      <w:lvlJc w:val="left"/>
      <w:pPr>
        <w:ind w:left="7208" w:hanging="144"/>
      </w:pPr>
    </w:lvl>
    <w:lvl w:ilvl="8">
      <w:numFmt w:val="bullet"/>
      <w:lvlText w:val="•"/>
      <w:lvlJc w:val="left"/>
      <w:pPr>
        <w:ind w:left="8192" w:hanging="144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upperRoman"/>
      <w:lvlText w:val="%1."/>
      <w:lvlJc w:val="left"/>
      <w:pPr>
        <w:ind w:left="374" w:hanging="191"/>
      </w:pPr>
      <w:rPr>
        <w:rFonts w:ascii="Tahoma" w:hAnsi="Tahoma" w:cs="Tahoma"/>
        <w:b/>
        <w:bCs/>
        <w:i w:val="0"/>
        <w:iCs w:val="0"/>
        <w:spacing w:val="0"/>
        <w:w w:val="74"/>
        <w:sz w:val="22"/>
        <w:szCs w:val="22"/>
      </w:rPr>
    </w:lvl>
    <w:lvl w:ilvl="1">
      <w:start w:val="1"/>
      <w:numFmt w:val="decimal"/>
      <w:lvlText w:val="%2."/>
      <w:lvlJc w:val="left"/>
      <w:pPr>
        <w:ind w:left="901" w:hanging="360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5"/>
        <w:sz w:val="22"/>
        <w:szCs w:val="22"/>
      </w:rPr>
    </w:lvl>
    <w:lvl w:ilvl="2">
      <w:numFmt w:val="bullet"/>
      <w:lvlText w:val="•"/>
      <w:lvlJc w:val="left"/>
      <w:pPr>
        <w:ind w:left="1928" w:hanging="360"/>
      </w:pPr>
    </w:lvl>
    <w:lvl w:ilvl="3">
      <w:numFmt w:val="bullet"/>
      <w:lvlText w:val="•"/>
      <w:lvlJc w:val="left"/>
      <w:pPr>
        <w:ind w:left="2957" w:hanging="360"/>
      </w:pPr>
    </w:lvl>
    <w:lvl w:ilvl="4">
      <w:numFmt w:val="bullet"/>
      <w:lvlText w:val="•"/>
      <w:lvlJc w:val="left"/>
      <w:pPr>
        <w:ind w:left="3986" w:hanging="360"/>
      </w:pPr>
    </w:lvl>
    <w:lvl w:ilvl="5">
      <w:numFmt w:val="bullet"/>
      <w:lvlText w:val="•"/>
      <w:lvlJc w:val="left"/>
      <w:pPr>
        <w:ind w:left="5015" w:hanging="360"/>
      </w:pPr>
    </w:lvl>
    <w:lvl w:ilvl="6">
      <w:numFmt w:val="bullet"/>
      <w:lvlText w:val="•"/>
      <w:lvlJc w:val="left"/>
      <w:pPr>
        <w:ind w:left="6044" w:hanging="360"/>
      </w:pPr>
    </w:lvl>
    <w:lvl w:ilvl="7">
      <w:numFmt w:val="bullet"/>
      <w:lvlText w:val="•"/>
      <w:lvlJc w:val="left"/>
      <w:pPr>
        <w:ind w:left="7073" w:hanging="360"/>
      </w:pPr>
    </w:lvl>
    <w:lvl w:ilvl="8">
      <w:numFmt w:val="bullet"/>
      <w:lvlText w:val="•"/>
      <w:lvlJc w:val="left"/>
      <w:pPr>
        <w:ind w:left="8102" w:hanging="360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"/>
      <w:lvlJc w:val="left"/>
      <w:pPr>
        <w:ind w:left="748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682" w:hanging="360"/>
      </w:pPr>
    </w:lvl>
    <w:lvl w:ilvl="2">
      <w:numFmt w:val="bullet"/>
      <w:lvlText w:val="•"/>
      <w:lvlJc w:val="left"/>
      <w:pPr>
        <w:ind w:left="2624" w:hanging="360"/>
      </w:pPr>
    </w:lvl>
    <w:lvl w:ilvl="3">
      <w:numFmt w:val="bullet"/>
      <w:lvlText w:val="•"/>
      <w:lvlJc w:val="left"/>
      <w:pPr>
        <w:ind w:left="3566" w:hanging="360"/>
      </w:pPr>
    </w:lvl>
    <w:lvl w:ilvl="4">
      <w:numFmt w:val="bullet"/>
      <w:lvlText w:val="•"/>
      <w:lvlJc w:val="left"/>
      <w:pPr>
        <w:ind w:left="4508" w:hanging="360"/>
      </w:pPr>
    </w:lvl>
    <w:lvl w:ilvl="5">
      <w:numFmt w:val="bullet"/>
      <w:lvlText w:val="•"/>
      <w:lvlJc w:val="left"/>
      <w:pPr>
        <w:ind w:left="5450" w:hanging="360"/>
      </w:pPr>
    </w:lvl>
    <w:lvl w:ilvl="6">
      <w:numFmt w:val="bullet"/>
      <w:lvlText w:val="•"/>
      <w:lvlJc w:val="left"/>
      <w:pPr>
        <w:ind w:left="6392" w:hanging="360"/>
      </w:pPr>
    </w:lvl>
    <w:lvl w:ilvl="7">
      <w:numFmt w:val="bullet"/>
      <w:lvlText w:val="•"/>
      <w:lvlJc w:val="left"/>
      <w:pPr>
        <w:ind w:left="7334" w:hanging="360"/>
      </w:pPr>
    </w:lvl>
    <w:lvl w:ilvl="8">
      <w:numFmt w:val="bullet"/>
      <w:lvlText w:val="•"/>
      <w:lvlJc w:val="left"/>
      <w:pPr>
        <w:ind w:left="8276" w:hanging="36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"/>
      <w:lvlJc w:val="left"/>
      <w:pPr>
        <w:ind w:left="187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1178" w:hanging="195"/>
      </w:pPr>
    </w:lvl>
    <w:lvl w:ilvl="2">
      <w:numFmt w:val="bullet"/>
      <w:lvlText w:val="•"/>
      <w:lvlJc w:val="left"/>
      <w:pPr>
        <w:ind w:left="2176" w:hanging="195"/>
      </w:pPr>
    </w:lvl>
    <w:lvl w:ilvl="3">
      <w:numFmt w:val="bullet"/>
      <w:lvlText w:val="•"/>
      <w:lvlJc w:val="left"/>
      <w:pPr>
        <w:ind w:left="3174" w:hanging="195"/>
      </w:pPr>
    </w:lvl>
    <w:lvl w:ilvl="4">
      <w:numFmt w:val="bullet"/>
      <w:lvlText w:val="•"/>
      <w:lvlJc w:val="left"/>
      <w:pPr>
        <w:ind w:left="4172" w:hanging="195"/>
      </w:pPr>
    </w:lvl>
    <w:lvl w:ilvl="5">
      <w:numFmt w:val="bullet"/>
      <w:lvlText w:val="•"/>
      <w:lvlJc w:val="left"/>
      <w:pPr>
        <w:ind w:left="5170" w:hanging="195"/>
      </w:pPr>
    </w:lvl>
    <w:lvl w:ilvl="6">
      <w:numFmt w:val="bullet"/>
      <w:lvlText w:val="•"/>
      <w:lvlJc w:val="left"/>
      <w:pPr>
        <w:ind w:left="6168" w:hanging="195"/>
      </w:pPr>
    </w:lvl>
    <w:lvl w:ilvl="7">
      <w:numFmt w:val="bullet"/>
      <w:lvlText w:val="•"/>
      <w:lvlJc w:val="left"/>
      <w:pPr>
        <w:ind w:left="7166" w:hanging="195"/>
      </w:pPr>
    </w:lvl>
    <w:lvl w:ilvl="8">
      <w:numFmt w:val="bullet"/>
      <w:lvlText w:val="•"/>
      <w:lvlJc w:val="left"/>
      <w:pPr>
        <w:ind w:left="8164" w:hanging="195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-"/>
      <w:lvlJc w:val="left"/>
      <w:pPr>
        <w:ind w:left="750" w:hanging="567"/>
      </w:pPr>
      <w:rPr>
        <w:rFonts w:ascii="Calibri" w:hAnsi="Calibri"/>
        <w:b w:val="0"/>
        <w:i w:val="0"/>
        <w:spacing w:val="0"/>
        <w:w w:val="100"/>
        <w:sz w:val="22"/>
      </w:rPr>
    </w:lvl>
    <w:lvl w:ilvl="1">
      <w:numFmt w:val="bullet"/>
      <w:lvlText w:val="-"/>
      <w:lvlJc w:val="left"/>
      <w:pPr>
        <w:ind w:left="903" w:hanging="360"/>
      </w:pPr>
      <w:rPr>
        <w:rFonts w:ascii="Calibri" w:hAnsi="Calibri"/>
        <w:b w:val="0"/>
        <w:i w:val="0"/>
        <w:spacing w:val="0"/>
        <w:w w:val="100"/>
        <w:sz w:val="22"/>
      </w:rPr>
    </w:lvl>
    <w:lvl w:ilvl="2">
      <w:numFmt w:val="bullet"/>
      <w:lvlText w:val="•"/>
      <w:lvlJc w:val="left"/>
      <w:pPr>
        <w:ind w:left="1928" w:hanging="360"/>
      </w:pPr>
    </w:lvl>
    <w:lvl w:ilvl="3">
      <w:numFmt w:val="bullet"/>
      <w:lvlText w:val="•"/>
      <w:lvlJc w:val="left"/>
      <w:pPr>
        <w:ind w:left="2957" w:hanging="360"/>
      </w:pPr>
    </w:lvl>
    <w:lvl w:ilvl="4">
      <w:numFmt w:val="bullet"/>
      <w:lvlText w:val="•"/>
      <w:lvlJc w:val="left"/>
      <w:pPr>
        <w:ind w:left="3986" w:hanging="360"/>
      </w:pPr>
    </w:lvl>
    <w:lvl w:ilvl="5">
      <w:numFmt w:val="bullet"/>
      <w:lvlText w:val="•"/>
      <w:lvlJc w:val="left"/>
      <w:pPr>
        <w:ind w:left="5015" w:hanging="360"/>
      </w:pPr>
    </w:lvl>
    <w:lvl w:ilvl="6">
      <w:numFmt w:val="bullet"/>
      <w:lvlText w:val="•"/>
      <w:lvlJc w:val="left"/>
      <w:pPr>
        <w:ind w:left="6044" w:hanging="360"/>
      </w:pPr>
    </w:lvl>
    <w:lvl w:ilvl="7">
      <w:numFmt w:val="bullet"/>
      <w:lvlText w:val="•"/>
      <w:lvlJc w:val="left"/>
      <w:pPr>
        <w:ind w:left="7073" w:hanging="360"/>
      </w:pPr>
    </w:lvl>
    <w:lvl w:ilvl="8">
      <w:numFmt w:val="bullet"/>
      <w:lvlText w:val="•"/>
      <w:lvlJc w:val="left"/>
      <w:pPr>
        <w:ind w:left="8102" w:hanging="36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ECE"/>
    <w:rsid w:val="000B7ECE"/>
    <w:rsid w:val="00164C4B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2A629E0"/>
  <w15:chartTrackingRefBased/>
  <w15:docId w15:val="{BBE18EFE-93FE-4B17-97CD-D3EE9974A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B7ECE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  <w:lang w:val="tr-TR" w:eastAsia="tr-TR"/>
    </w:rPr>
  </w:style>
  <w:style w:type="paragraph" w:styleId="Balk1">
    <w:name w:val="heading 1"/>
    <w:basedOn w:val="Normal"/>
    <w:next w:val="Normal"/>
    <w:link w:val="Balk1Char"/>
    <w:uiPriority w:val="1"/>
    <w:qFormat/>
    <w:rsid w:val="000B7ECE"/>
    <w:pPr>
      <w:ind w:left="145"/>
      <w:jc w:val="center"/>
      <w:outlineLvl w:val="0"/>
    </w:pPr>
    <w:rPr>
      <w:rFonts w:ascii="Tahoma" w:hAnsi="Tahoma" w:cs="Tahoma"/>
      <w:b/>
      <w:bCs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1"/>
    <w:qFormat/>
    <w:rsid w:val="000B7ECE"/>
    <w:pPr>
      <w:ind w:left="183"/>
      <w:outlineLvl w:val="1"/>
    </w:pPr>
    <w:rPr>
      <w:rFonts w:ascii="Tahoma" w:hAnsi="Tahoma" w:cs="Tahoma"/>
      <w:b/>
      <w:b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1"/>
    <w:qFormat/>
    <w:rsid w:val="000B7ECE"/>
    <w:pPr>
      <w:ind w:left="181"/>
      <w:outlineLvl w:val="2"/>
    </w:pPr>
    <w:rPr>
      <w:rFonts w:ascii="Tahoma" w:hAnsi="Tahoma" w:cs="Tahom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1"/>
    <w:qFormat/>
    <w:rsid w:val="000B7ECE"/>
    <w:pPr>
      <w:spacing w:before="391"/>
      <w:ind w:left="183"/>
      <w:outlineLvl w:val="3"/>
    </w:pPr>
    <w:rPr>
      <w:rFonts w:ascii="Tahoma" w:hAnsi="Tahoma" w:cs="Tahoma"/>
      <w:b/>
      <w:bCs/>
    </w:rPr>
  </w:style>
  <w:style w:type="paragraph" w:styleId="Balk5">
    <w:name w:val="heading 5"/>
    <w:basedOn w:val="Normal"/>
    <w:next w:val="Normal"/>
    <w:link w:val="Balk5Char"/>
    <w:uiPriority w:val="1"/>
    <w:qFormat/>
    <w:rsid w:val="000B7ECE"/>
    <w:pPr>
      <w:spacing w:before="193"/>
      <w:ind w:left="181"/>
      <w:outlineLvl w:val="4"/>
    </w:pPr>
    <w:rPr>
      <w:b/>
      <w:bCs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0B7ECE"/>
    <w:rPr>
      <w:rFonts w:ascii="Tahoma" w:eastAsiaTheme="minorEastAsia" w:hAnsi="Tahoma" w:cs="Tahoma"/>
      <w:b/>
      <w:bCs/>
      <w:sz w:val="28"/>
      <w:szCs w:val="28"/>
      <w:lang w:val="tr-TR" w:eastAsia="tr-TR"/>
    </w:rPr>
  </w:style>
  <w:style w:type="character" w:customStyle="1" w:styleId="Balk2Char">
    <w:name w:val="Başlık 2 Char"/>
    <w:basedOn w:val="VarsaylanParagrafYazTipi"/>
    <w:link w:val="Balk2"/>
    <w:uiPriority w:val="1"/>
    <w:rsid w:val="000B7ECE"/>
    <w:rPr>
      <w:rFonts w:ascii="Tahoma" w:eastAsiaTheme="minorEastAsia" w:hAnsi="Tahoma" w:cs="Tahoma"/>
      <w:b/>
      <w:bCs/>
      <w:sz w:val="28"/>
      <w:szCs w:val="28"/>
      <w:lang w:val="tr-TR" w:eastAsia="tr-TR"/>
    </w:rPr>
  </w:style>
  <w:style w:type="character" w:customStyle="1" w:styleId="Balk3Char">
    <w:name w:val="Başlık 3 Char"/>
    <w:basedOn w:val="VarsaylanParagrafYazTipi"/>
    <w:link w:val="Balk3"/>
    <w:uiPriority w:val="1"/>
    <w:rsid w:val="000B7ECE"/>
    <w:rPr>
      <w:rFonts w:ascii="Tahoma" w:eastAsiaTheme="minorEastAsia" w:hAnsi="Tahoma" w:cs="Tahoma"/>
      <w:b/>
      <w:bCs/>
      <w:sz w:val="26"/>
      <w:szCs w:val="26"/>
      <w:lang w:val="tr-TR" w:eastAsia="tr-TR"/>
    </w:rPr>
  </w:style>
  <w:style w:type="character" w:customStyle="1" w:styleId="Balk4Char">
    <w:name w:val="Başlık 4 Char"/>
    <w:basedOn w:val="VarsaylanParagrafYazTipi"/>
    <w:link w:val="Balk4"/>
    <w:uiPriority w:val="1"/>
    <w:rsid w:val="000B7ECE"/>
    <w:rPr>
      <w:rFonts w:ascii="Tahoma" w:eastAsiaTheme="minorEastAsia" w:hAnsi="Tahoma" w:cs="Tahoma"/>
      <w:b/>
      <w:bCs/>
      <w:lang w:val="tr-TR" w:eastAsia="tr-TR"/>
    </w:rPr>
  </w:style>
  <w:style w:type="character" w:customStyle="1" w:styleId="Balk5Char">
    <w:name w:val="Başlık 5 Char"/>
    <w:basedOn w:val="VarsaylanParagrafYazTipi"/>
    <w:link w:val="Balk5"/>
    <w:uiPriority w:val="1"/>
    <w:rsid w:val="000B7ECE"/>
    <w:rPr>
      <w:rFonts w:ascii="Century Gothic" w:eastAsiaTheme="minorEastAsia" w:hAnsi="Century Gothic" w:cs="Century Gothic"/>
      <w:b/>
      <w:bCs/>
      <w:i/>
      <w:iCs/>
      <w:lang w:val="tr-TR" w:eastAsia="tr-TR"/>
    </w:rPr>
  </w:style>
  <w:style w:type="paragraph" w:styleId="GvdeMetni">
    <w:name w:val="Body Text"/>
    <w:basedOn w:val="Normal"/>
    <w:link w:val="GvdeMetniChar"/>
    <w:uiPriority w:val="1"/>
    <w:qFormat/>
    <w:rsid w:val="000B7ECE"/>
  </w:style>
  <w:style w:type="character" w:customStyle="1" w:styleId="GvdeMetniChar">
    <w:name w:val="Gövde Metni Char"/>
    <w:basedOn w:val="VarsaylanParagrafYazTipi"/>
    <w:link w:val="GvdeMetni"/>
    <w:uiPriority w:val="1"/>
    <w:rsid w:val="000B7ECE"/>
    <w:rPr>
      <w:rFonts w:ascii="Century Gothic" w:eastAsiaTheme="minorEastAsia" w:hAnsi="Century Gothic" w:cs="Century Gothic"/>
      <w:lang w:val="tr-TR" w:eastAsia="tr-TR"/>
    </w:rPr>
  </w:style>
  <w:style w:type="paragraph" w:styleId="KonuBal">
    <w:name w:val="Title"/>
    <w:basedOn w:val="Normal"/>
    <w:next w:val="Normal"/>
    <w:link w:val="KonuBalChar"/>
    <w:uiPriority w:val="1"/>
    <w:qFormat/>
    <w:rsid w:val="000B7ECE"/>
    <w:pPr>
      <w:spacing w:line="1030" w:lineRule="exact"/>
      <w:ind w:left="103"/>
    </w:pPr>
    <w:rPr>
      <w:rFonts w:ascii="Tahoma" w:hAnsi="Tahoma" w:cs="Tahoma"/>
      <w:b/>
      <w:bCs/>
      <w:sz w:val="86"/>
      <w:szCs w:val="86"/>
    </w:rPr>
  </w:style>
  <w:style w:type="character" w:customStyle="1" w:styleId="KonuBalChar">
    <w:name w:val="Konu Başlığı Char"/>
    <w:basedOn w:val="VarsaylanParagrafYazTipi"/>
    <w:link w:val="KonuBal"/>
    <w:uiPriority w:val="1"/>
    <w:rsid w:val="000B7ECE"/>
    <w:rPr>
      <w:rFonts w:ascii="Tahoma" w:eastAsiaTheme="minorEastAsia" w:hAnsi="Tahoma" w:cs="Tahoma"/>
      <w:b/>
      <w:bCs/>
      <w:sz w:val="86"/>
      <w:szCs w:val="86"/>
      <w:lang w:val="tr-TR" w:eastAsia="tr-TR"/>
    </w:rPr>
  </w:style>
  <w:style w:type="paragraph" w:styleId="ListeParagraf">
    <w:name w:val="List Paragraph"/>
    <w:basedOn w:val="Normal"/>
    <w:uiPriority w:val="1"/>
    <w:qFormat/>
    <w:rsid w:val="000B7ECE"/>
    <w:pPr>
      <w:ind w:left="181" w:right="115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B7ECE"/>
    <w:rPr>
      <w:rFonts w:ascii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0B7ECE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B7ECE"/>
    <w:rPr>
      <w:rFonts w:ascii="Century Gothic" w:eastAsiaTheme="minorEastAsia" w:hAnsi="Century Gothic" w:cs="Century Gothic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0B7ECE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B7ECE"/>
    <w:rPr>
      <w:rFonts w:ascii="Century Gothic" w:eastAsiaTheme="minorEastAsia" w:hAnsi="Century Gothic" w:cs="Century Gothic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tanseverman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1591</Words>
  <Characters>9072</Characters>
  <Application>Microsoft Office Word</Application>
  <DocSecurity>0</DocSecurity>
  <Lines>75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2024-02-15T09:48:00Z</dcterms:created>
  <dcterms:modified xsi:type="dcterms:W3CDTF">2024-02-15T09:53:00Z</dcterms:modified>
</cp:coreProperties>
</file>