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7F18" w:rsidRPr="00297F18" w:rsidRDefault="00297F18" w:rsidP="00297F18">
      <w:pPr>
        <w:pStyle w:val="GvdeMetni"/>
        <w:kinsoku w:val="0"/>
        <w:overflowPunct w:val="0"/>
        <w:spacing w:line="265" w:lineRule="exact"/>
        <w:ind w:right="156"/>
        <w:jc w:val="right"/>
        <w:rPr>
          <w:rFonts w:asciiTheme="minorHAnsi" w:hAnsiTheme="minorHAnsi" w:cstheme="minorHAnsi"/>
          <w:w w:val="90"/>
        </w:rPr>
      </w:pPr>
      <w:r w:rsidRPr="00297F18">
        <w:rPr>
          <w:rFonts w:asciiTheme="minorHAnsi" w:hAnsiTheme="minorHAnsi" w:cstheme="minorHAnsi"/>
          <w:w w:val="90"/>
        </w:rPr>
        <w:t>Cansu Çatma Bilen*</w:t>
      </w:r>
    </w:p>
    <w:p w:rsidR="00297F18" w:rsidRPr="00297F18" w:rsidRDefault="00297F18" w:rsidP="00297F18">
      <w:pPr>
        <w:pStyle w:val="GvdeMetni"/>
        <w:kinsoku w:val="0"/>
        <w:overflowPunct w:val="0"/>
        <w:spacing w:line="265" w:lineRule="exact"/>
        <w:ind w:right="156"/>
        <w:jc w:val="right"/>
        <w:rPr>
          <w:rFonts w:asciiTheme="minorHAnsi" w:hAnsiTheme="minorHAnsi" w:cstheme="minorHAnsi"/>
          <w:w w:val="90"/>
        </w:rPr>
      </w:pPr>
      <w:r w:rsidRPr="00297F18">
        <w:rPr>
          <w:rFonts w:asciiTheme="minorHAnsi" w:hAnsiTheme="minorHAnsi" w:cstheme="minorHAnsi"/>
          <w:w w:val="90"/>
        </w:rPr>
        <w:t>Önder Erol Ünsal**</w:t>
      </w:r>
    </w:p>
    <w:p w:rsidR="00297F18" w:rsidRPr="00297F18" w:rsidRDefault="00297F18" w:rsidP="00297F18">
      <w:pPr>
        <w:pStyle w:val="GvdeMetni"/>
        <w:kinsoku w:val="0"/>
        <w:overflowPunct w:val="0"/>
        <w:spacing w:line="266" w:lineRule="exact"/>
        <w:ind w:right="156"/>
        <w:jc w:val="right"/>
        <w:rPr>
          <w:rFonts w:asciiTheme="minorHAnsi" w:hAnsiTheme="minorHAnsi" w:cstheme="minorHAnsi"/>
          <w:b/>
          <w:bCs/>
          <w:i/>
          <w:iCs/>
          <w:spacing w:val="-2"/>
          <w:w w:val="90"/>
        </w:rPr>
      </w:pPr>
      <w:r w:rsidRPr="00297F18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AIPPI</w:t>
      </w:r>
      <w:r w:rsidRPr="00297F18">
        <w:rPr>
          <w:rFonts w:asciiTheme="minorHAnsi" w:hAnsiTheme="minorHAnsi" w:cstheme="minorHAnsi"/>
          <w:b/>
          <w:bCs/>
          <w:i/>
          <w:iCs/>
          <w:spacing w:val="-3"/>
          <w:w w:val="90"/>
        </w:rPr>
        <w:t xml:space="preserve"> </w:t>
      </w:r>
      <w:r w:rsidRPr="00297F18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Türkiye</w:t>
      </w:r>
      <w:r w:rsidRPr="00297F18">
        <w:rPr>
          <w:rFonts w:asciiTheme="minorHAnsi" w:hAnsiTheme="minorHAnsi" w:cstheme="minorHAnsi"/>
          <w:b/>
          <w:bCs/>
          <w:i/>
          <w:iCs/>
          <w:spacing w:val="-3"/>
          <w:w w:val="90"/>
        </w:rPr>
        <w:t xml:space="preserve"> </w:t>
      </w:r>
      <w:r w:rsidRPr="00297F18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/</w:t>
      </w:r>
      <w:r w:rsidRPr="00297F18">
        <w:rPr>
          <w:rFonts w:asciiTheme="minorHAnsi" w:hAnsiTheme="minorHAnsi" w:cstheme="minorHAnsi"/>
          <w:b/>
          <w:bCs/>
          <w:i/>
          <w:iCs/>
          <w:spacing w:val="-8"/>
        </w:rPr>
        <w:t xml:space="preserve"> </w:t>
      </w:r>
      <w:r w:rsidRPr="00297F18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Fikri</w:t>
      </w:r>
      <w:r w:rsidRPr="00297F18">
        <w:rPr>
          <w:rFonts w:asciiTheme="minorHAnsi" w:hAnsiTheme="minorHAnsi" w:cstheme="minorHAnsi"/>
          <w:b/>
          <w:bCs/>
          <w:i/>
          <w:iCs/>
          <w:spacing w:val="-3"/>
          <w:w w:val="90"/>
        </w:rPr>
        <w:t xml:space="preserve"> </w:t>
      </w:r>
      <w:r w:rsidRPr="00297F18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Mülkiyet</w:t>
      </w:r>
      <w:r w:rsidRPr="00297F18">
        <w:rPr>
          <w:rFonts w:asciiTheme="minorHAnsi" w:hAnsiTheme="minorHAnsi" w:cstheme="minorHAnsi"/>
          <w:b/>
          <w:bCs/>
          <w:i/>
          <w:iCs/>
          <w:spacing w:val="-8"/>
        </w:rPr>
        <w:t xml:space="preserve"> </w:t>
      </w:r>
      <w:r w:rsidRPr="00297F18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Hakları</w:t>
      </w:r>
      <w:r w:rsidRPr="00297F18">
        <w:rPr>
          <w:rFonts w:asciiTheme="minorHAnsi" w:hAnsiTheme="minorHAnsi" w:cstheme="minorHAnsi"/>
          <w:b/>
          <w:bCs/>
          <w:i/>
          <w:iCs/>
          <w:spacing w:val="-3"/>
          <w:w w:val="90"/>
        </w:rPr>
        <w:t xml:space="preserve"> </w:t>
      </w:r>
      <w:r w:rsidRPr="00297F18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Koruma</w:t>
      </w:r>
      <w:r w:rsidRPr="00297F18">
        <w:rPr>
          <w:rFonts w:asciiTheme="minorHAnsi" w:hAnsiTheme="minorHAnsi" w:cstheme="minorHAnsi"/>
          <w:b/>
          <w:bCs/>
          <w:i/>
          <w:iCs/>
          <w:spacing w:val="-3"/>
          <w:w w:val="90"/>
        </w:rPr>
        <w:t xml:space="preserve"> </w:t>
      </w:r>
      <w:r w:rsidRPr="00297F18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Derneği</w:t>
      </w:r>
      <w:r w:rsidRPr="00297F18">
        <w:rPr>
          <w:rFonts w:asciiTheme="minorHAnsi" w:hAnsiTheme="minorHAnsi" w:cstheme="minorHAnsi"/>
          <w:b/>
          <w:bCs/>
          <w:i/>
          <w:iCs/>
          <w:spacing w:val="-8"/>
        </w:rPr>
        <w:t xml:space="preserve"> </w:t>
      </w:r>
      <w:r w:rsidRPr="00297F18">
        <w:rPr>
          <w:rFonts w:asciiTheme="minorHAnsi" w:hAnsiTheme="minorHAnsi" w:cstheme="minorHAnsi"/>
          <w:b/>
          <w:bCs/>
          <w:i/>
          <w:iCs/>
          <w:spacing w:val="-2"/>
          <w:w w:val="90"/>
        </w:rPr>
        <w:t>Üyeleri</w:t>
      </w:r>
    </w:p>
    <w:p w:rsidR="00297F18" w:rsidRPr="00297F18" w:rsidRDefault="00297F18" w:rsidP="00297F18">
      <w:pPr>
        <w:pStyle w:val="GvdeMetni"/>
        <w:kinsoku w:val="0"/>
        <w:overflowPunct w:val="0"/>
        <w:spacing w:before="9"/>
        <w:rPr>
          <w:rFonts w:asciiTheme="minorHAnsi" w:hAnsiTheme="minorHAnsi" w:cstheme="minorHAnsi"/>
          <w:sz w:val="15"/>
          <w:szCs w:val="15"/>
        </w:rPr>
      </w:pPr>
    </w:p>
    <w:p w:rsidR="00297F18" w:rsidRPr="00297F18" w:rsidRDefault="00297F18" w:rsidP="00297F18">
      <w:pPr>
        <w:pStyle w:val="GvdeMetni"/>
        <w:kinsoku w:val="0"/>
        <w:overflowPunct w:val="0"/>
        <w:spacing w:before="104"/>
        <w:ind w:left="183"/>
        <w:jc w:val="both"/>
        <w:rPr>
          <w:rFonts w:asciiTheme="minorHAnsi" w:hAnsiTheme="minorHAnsi" w:cstheme="minorHAnsi"/>
          <w:b/>
          <w:bCs/>
          <w:spacing w:val="-2"/>
          <w:w w:val="85"/>
          <w:sz w:val="28"/>
          <w:szCs w:val="28"/>
        </w:rPr>
      </w:pPr>
      <w:bookmarkStart w:id="0" w:name="_GoBack"/>
      <w:r w:rsidRPr="00297F18">
        <w:rPr>
          <w:rFonts w:asciiTheme="minorHAnsi" w:hAnsiTheme="minorHAnsi" w:cstheme="minorHAnsi"/>
          <w:b/>
          <w:bCs/>
          <w:w w:val="85"/>
          <w:sz w:val="28"/>
          <w:szCs w:val="28"/>
        </w:rPr>
        <w:t>COĞRAFİ</w:t>
      </w:r>
      <w:r w:rsidRPr="00297F18">
        <w:rPr>
          <w:rFonts w:asciiTheme="minorHAnsi" w:hAnsiTheme="minorHAnsi" w:cstheme="minorHAnsi"/>
          <w:b/>
          <w:bCs/>
          <w:spacing w:val="23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85"/>
          <w:sz w:val="28"/>
          <w:szCs w:val="28"/>
        </w:rPr>
        <w:t>YER</w:t>
      </w:r>
      <w:r w:rsidRPr="00297F18">
        <w:rPr>
          <w:rFonts w:asciiTheme="minorHAnsi" w:hAnsiTheme="minorHAnsi" w:cstheme="minorHAnsi"/>
          <w:b/>
          <w:bCs/>
          <w:spacing w:val="24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85"/>
          <w:sz w:val="28"/>
          <w:szCs w:val="28"/>
        </w:rPr>
        <w:t>ADLARININ</w:t>
      </w:r>
      <w:r w:rsidRPr="00297F18">
        <w:rPr>
          <w:rFonts w:asciiTheme="minorHAnsi" w:hAnsiTheme="minorHAnsi" w:cstheme="minorHAnsi"/>
          <w:b/>
          <w:bCs/>
          <w:spacing w:val="24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spacing w:val="-2"/>
          <w:w w:val="85"/>
          <w:sz w:val="28"/>
          <w:szCs w:val="28"/>
        </w:rPr>
        <w:t>TANIMLAYICILIĞI</w:t>
      </w:r>
      <w:r w:rsidRPr="00297F18">
        <w:rPr>
          <w:rFonts w:asciiTheme="minorHAnsi" w:hAnsiTheme="minorHAnsi" w:cstheme="minorHAnsi"/>
          <w:b/>
          <w:bCs/>
          <w:spacing w:val="-2"/>
          <w:w w:val="85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85"/>
          <w:sz w:val="28"/>
          <w:szCs w:val="28"/>
        </w:rPr>
        <w:t>EUIPO</w:t>
      </w:r>
      <w:r w:rsidRPr="00297F18">
        <w:rPr>
          <w:rFonts w:asciiTheme="minorHAnsi" w:hAnsiTheme="minorHAnsi" w:cstheme="minorHAnsi"/>
          <w:b/>
          <w:bCs/>
          <w:spacing w:val="31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85"/>
          <w:sz w:val="28"/>
          <w:szCs w:val="28"/>
        </w:rPr>
        <w:t>TEMYİZ</w:t>
      </w:r>
      <w:r w:rsidRPr="00297F18">
        <w:rPr>
          <w:rFonts w:asciiTheme="minorHAnsi" w:hAnsiTheme="minorHAnsi" w:cstheme="minorHAnsi"/>
          <w:b/>
          <w:bCs/>
          <w:spacing w:val="31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85"/>
          <w:sz w:val="28"/>
          <w:szCs w:val="28"/>
        </w:rPr>
        <w:t>KURULU</w:t>
      </w:r>
      <w:r w:rsidRPr="00297F18">
        <w:rPr>
          <w:rFonts w:asciiTheme="minorHAnsi" w:hAnsiTheme="minorHAnsi" w:cstheme="minorHAnsi"/>
          <w:b/>
          <w:bCs/>
          <w:spacing w:val="31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85"/>
          <w:sz w:val="28"/>
          <w:szCs w:val="28"/>
        </w:rPr>
        <w:t>BÜYÜK</w:t>
      </w:r>
      <w:r w:rsidRPr="00297F18">
        <w:rPr>
          <w:rFonts w:asciiTheme="minorHAnsi" w:hAnsiTheme="minorHAnsi" w:cstheme="minorHAnsi"/>
          <w:b/>
          <w:bCs/>
          <w:spacing w:val="31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85"/>
          <w:sz w:val="28"/>
          <w:szCs w:val="28"/>
        </w:rPr>
        <w:t>KURULU</w:t>
      </w:r>
      <w:r w:rsidRPr="00297F18">
        <w:rPr>
          <w:rFonts w:asciiTheme="minorHAnsi" w:hAnsiTheme="minorHAnsi" w:cstheme="minorHAnsi"/>
          <w:b/>
          <w:bCs/>
          <w:spacing w:val="31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85"/>
          <w:sz w:val="28"/>
          <w:szCs w:val="28"/>
        </w:rPr>
        <w:t>“INMOBILIARIA</w:t>
      </w:r>
      <w:r w:rsidRPr="00297F18">
        <w:rPr>
          <w:rFonts w:asciiTheme="minorHAnsi" w:hAnsiTheme="minorHAnsi" w:cstheme="minorHAnsi"/>
          <w:b/>
          <w:bCs/>
          <w:spacing w:val="31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85"/>
          <w:sz w:val="28"/>
          <w:szCs w:val="28"/>
        </w:rPr>
        <w:t>PORTIXOL”</w:t>
      </w:r>
      <w:r w:rsidRPr="00297F18">
        <w:rPr>
          <w:rFonts w:asciiTheme="minorHAnsi" w:hAnsiTheme="minorHAnsi" w:cstheme="minorHAnsi"/>
          <w:b/>
          <w:bCs/>
          <w:spacing w:val="31"/>
          <w:sz w:val="28"/>
          <w:szCs w:val="28"/>
        </w:rPr>
        <w:t xml:space="preserve"> </w:t>
      </w:r>
      <w:r w:rsidRPr="00297F18">
        <w:rPr>
          <w:rFonts w:asciiTheme="minorHAnsi" w:hAnsiTheme="minorHAnsi" w:cstheme="minorHAnsi"/>
          <w:b/>
          <w:bCs/>
          <w:spacing w:val="-2"/>
          <w:w w:val="85"/>
          <w:sz w:val="28"/>
          <w:szCs w:val="28"/>
        </w:rPr>
        <w:t>KARARI</w:t>
      </w:r>
    </w:p>
    <w:bookmarkEnd w:id="0"/>
    <w:p w:rsidR="00297F18" w:rsidRPr="00297F18" w:rsidRDefault="00297F18" w:rsidP="00297F18">
      <w:pPr>
        <w:pStyle w:val="ListeParagraf"/>
        <w:numPr>
          <w:ilvl w:val="0"/>
          <w:numId w:val="4"/>
        </w:numPr>
        <w:tabs>
          <w:tab w:val="left" w:pos="373"/>
        </w:tabs>
        <w:kinsoku w:val="0"/>
        <w:overflowPunct w:val="0"/>
        <w:spacing w:before="195"/>
        <w:ind w:left="373" w:right="0" w:hanging="190"/>
        <w:rPr>
          <w:rFonts w:asciiTheme="minorHAnsi" w:hAnsiTheme="minorHAnsi" w:cstheme="minorHAnsi"/>
          <w:b/>
          <w:bCs/>
          <w:spacing w:val="-2"/>
          <w:w w:val="90"/>
          <w:sz w:val="22"/>
          <w:szCs w:val="22"/>
        </w:rPr>
      </w:pPr>
      <w:r w:rsidRPr="00297F18">
        <w:rPr>
          <w:rFonts w:asciiTheme="minorHAnsi" w:hAnsiTheme="minorHAnsi" w:cstheme="minorHAnsi"/>
          <w:b/>
          <w:bCs/>
          <w:spacing w:val="-2"/>
          <w:w w:val="90"/>
          <w:sz w:val="22"/>
          <w:szCs w:val="22"/>
        </w:rPr>
        <w:t>GİRİŞ</w:t>
      </w:r>
    </w:p>
    <w:p w:rsidR="00297F18" w:rsidRPr="00297F18" w:rsidRDefault="00297F18" w:rsidP="00297F18">
      <w:pPr>
        <w:pStyle w:val="GvdeMetni"/>
        <w:kinsoku w:val="0"/>
        <w:overflowPunct w:val="0"/>
        <w:spacing w:before="202" w:line="230" w:lineRule="auto"/>
        <w:ind w:left="183" w:right="115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  <w:w w:val="90"/>
        </w:rPr>
        <w:t xml:space="preserve">Münhasıran coğrafi yer adlarından oluşan veya coğrafi yer adlarını asli ayırt edici unsur olarak </w:t>
      </w:r>
      <w:r w:rsidRPr="00297F18">
        <w:rPr>
          <w:rFonts w:asciiTheme="minorHAnsi" w:hAnsiTheme="minorHAnsi" w:cstheme="minorHAnsi"/>
          <w:spacing w:val="-6"/>
        </w:rPr>
        <w:t>içeren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w w:val="90"/>
        </w:rPr>
        <w:t xml:space="preserve">marka tescil başvurularının hangi hallerde tanımlayıcı markalar olarak kabul edileceği, marka incelemesinin </w:t>
      </w:r>
      <w:r w:rsidRPr="00297F18">
        <w:rPr>
          <w:rFonts w:asciiTheme="minorHAnsi" w:hAnsiTheme="minorHAnsi" w:cstheme="minorHAnsi"/>
        </w:rPr>
        <w:t>tartışmalı alanlarından birisini oluşturmaktadır.</w:t>
      </w:r>
    </w:p>
    <w:p w:rsidR="00297F18" w:rsidRPr="00297F18" w:rsidRDefault="00297F18" w:rsidP="00297F18">
      <w:pPr>
        <w:pStyle w:val="GvdeMetni"/>
        <w:kinsoku w:val="0"/>
        <w:overflowPunct w:val="0"/>
        <w:spacing w:before="203" w:line="230" w:lineRule="auto"/>
        <w:ind w:left="183" w:right="116"/>
        <w:jc w:val="both"/>
        <w:rPr>
          <w:rFonts w:asciiTheme="minorHAnsi" w:hAnsiTheme="minorHAnsi" w:cstheme="minorHAnsi"/>
          <w:spacing w:val="-6"/>
        </w:rPr>
      </w:pPr>
      <w:r w:rsidRPr="00297F18">
        <w:rPr>
          <w:rFonts w:asciiTheme="minorHAnsi" w:hAnsiTheme="minorHAnsi" w:cstheme="minorHAnsi"/>
        </w:rPr>
        <w:t>Bu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yazıda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incelenecek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olan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Avrupa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Birliği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Fikri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Mülkiyet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Ofisi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(EUIPO)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Temyiz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Kurulu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>Büyük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</w:rPr>
        <w:t xml:space="preserve">Kurulu </w:t>
      </w:r>
      <w:r w:rsidRPr="00297F18">
        <w:rPr>
          <w:rFonts w:asciiTheme="minorHAnsi" w:hAnsiTheme="minorHAnsi" w:cstheme="minorHAnsi"/>
          <w:spacing w:val="-6"/>
        </w:rPr>
        <w:t>“INMOBILIARIA PORTIXOL” kararında</w:t>
      </w:r>
      <w:r w:rsidRPr="00297F18">
        <w:rPr>
          <w:rFonts w:asciiTheme="minorHAnsi" w:hAnsiTheme="minorHAnsi" w:cstheme="minorHAnsi"/>
          <w:spacing w:val="-6"/>
          <w:position w:val="7"/>
          <w:sz w:val="13"/>
          <w:szCs w:val="13"/>
        </w:rPr>
        <w:t>1</w:t>
      </w:r>
      <w:r w:rsidRPr="00297F18">
        <w:rPr>
          <w:rFonts w:asciiTheme="minorHAnsi" w:hAnsiTheme="minorHAnsi" w:cstheme="minorHAnsi"/>
          <w:spacing w:val="-6"/>
        </w:rPr>
        <w:t>, konu tescili talep edilen coğra</w:t>
      </w:r>
      <w:r>
        <w:rPr>
          <w:rFonts w:asciiTheme="minorHAnsi" w:hAnsiTheme="minorHAnsi" w:cstheme="minorHAnsi"/>
          <w:spacing w:val="-6"/>
        </w:rPr>
        <w:t>fi yer adının kamunun ilgili ke</w:t>
      </w:r>
      <w:r w:rsidRPr="00297F18">
        <w:rPr>
          <w:rFonts w:asciiTheme="minorHAnsi" w:hAnsiTheme="minorHAnsi" w:cstheme="minorHAnsi"/>
          <w:spacing w:val="-4"/>
        </w:rPr>
        <w:t>simince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bilinirlik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düzeyinin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ne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olması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gerektiği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sorusu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ekseninde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incelenmiş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EUIPO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Temyiz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 xml:space="preserve">Kurulu </w:t>
      </w:r>
      <w:r w:rsidRPr="00297F18">
        <w:rPr>
          <w:rFonts w:asciiTheme="minorHAnsi" w:hAnsiTheme="minorHAnsi" w:cstheme="minorHAnsi"/>
          <w:spacing w:val="-8"/>
        </w:rPr>
        <w:t>uygulamasını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birleştirme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yönünde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bir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adım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atılmıştır.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Yazıda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belirtilen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karar,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arka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planı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ve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 xml:space="preserve">gerekçeleri </w:t>
      </w:r>
      <w:r w:rsidRPr="00297F18">
        <w:rPr>
          <w:rFonts w:asciiTheme="minorHAnsi" w:hAnsiTheme="minorHAnsi" w:cstheme="minorHAnsi"/>
          <w:spacing w:val="-6"/>
        </w:rPr>
        <w:t>çerçevesinde detaylarıyla aktarılmaya çalışılacaktır.</w:t>
      </w:r>
    </w:p>
    <w:p w:rsidR="00297F18" w:rsidRPr="00297F18" w:rsidRDefault="00297F18" w:rsidP="00297F18">
      <w:pPr>
        <w:pStyle w:val="Balk4"/>
        <w:numPr>
          <w:ilvl w:val="0"/>
          <w:numId w:val="4"/>
        </w:numPr>
        <w:tabs>
          <w:tab w:val="left" w:pos="441"/>
        </w:tabs>
        <w:kinsoku w:val="0"/>
        <w:overflowPunct w:val="0"/>
        <w:spacing w:before="197"/>
        <w:ind w:left="441" w:hanging="257"/>
        <w:rPr>
          <w:rFonts w:asciiTheme="minorHAnsi" w:hAnsiTheme="minorHAnsi" w:cstheme="minorHAnsi"/>
          <w:spacing w:val="-2"/>
          <w:w w:val="90"/>
        </w:rPr>
      </w:pPr>
      <w:r w:rsidRPr="00297F18">
        <w:rPr>
          <w:rFonts w:asciiTheme="minorHAnsi" w:hAnsiTheme="minorHAnsi" w:cstheme="minorHAnsi"/>
          <w:w w:val="90"/>
        </w:rPr>
        <w:t>HÜKÜMSÜZLÜĞÜ</w:t>
      </w:r>
      <w:r w:rsidRPr="00297F18">
        <w:rPr>
          <w:rFonts w:asciiTheme="minorHAnsi" w:hAnsiTheme="minorHAnsi" w:cstheme="minorHAnsi"/>
          <w:spacing w:val="-2"/>
          <w:w w:val="90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TALEP</w:t>
      </w:r>
      <w:r w:rsidRPr="00297F18">
        <w:rPr>
          <w:rFonts w:asciiTheme="minorHAnsi" w:hAnsiTheme="minorHAnsi" w:cstheme="minorHAnsi"/>
          <w:spacing w:val="-2"/>
          <w:w w:val="90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EDİLEN</w:t>
      </w:r>
      <w:r w:rsidRPr="00297F18">
        <w:rPr>
          <w:rFonts w:asciiTheme="minorHAnsi" w:hAnsiTheme="minorHAnsi" w:cstheme="minorHAnsi"/>
          <w:spacing w:val="-1"/>
          <w:w w:val="90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MARKA</w:t>
      </w:r>
      <w:r w:rsidRPr="00297F18">
        <w:rPr>
          <w:rFonts w:asciiTheme="minorHAnsi" w:hAnsiTheme="minorHAnsi" w:cstheme="minorHAnsi"/>
          <w:spacing w:val="-2"/>
          <w:w w:val="90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ve</w:t>
      </w:r>
      <w:r w:rsidRPr="00297F18">
        <w:rPr>
          <w:rFonts w:asciiTheme="minorHAnsi" w:hAnsiTheme="minorHAnsi" w:cstheme="minorHAnsi"/>
          <w:spacing w:val="-2"/>
          <w:w w:val="90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EUIPO</w:t>
      </w:r>
      <w:r w:rsidRPr="00297F18">
        <w:rPr>
          <w:rFonts w:asciiTheme="minorHAnsi" w:hAnsiTheme="minorHAnsi" w:cstheme="minorHAnsi"/>
          <w:spacing w:val="-1"/>
          <w:w w:val="90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İPTAL</w:t>
      </w:r>
      <w:r w:rsidRPr="00297F18">
        <w:rPr>
          <w:rFonts w:asciiTheme="minorHAnsi" w:hAnsiTheme="minorHAnsi" w:cstheme="minorHAnsi"/>
          <w:spacing w:val="-2"/>
          <w:w w:val="90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BİRİMİ</w:t>
      </w:r>
      <w:r w:rsidRPr="00297F18">
        <w:rPr>
          <w:rFonts w:asciiTheme="minorHAnsi" w:hAnsiTheme="minorHAnsi" w:cstheme="minorHAnsi"/>
          <w:spacing w:val="-2"/>
          <w:w w:val="90"/>
        </w:rPr>
        <w:t xml:space="preserve"> İNCELEMESİ</w:t>
      </w:r>
    </w:p>
    <w:p w:rsidR="00297F18" w:rsidRPr="00297F18" w:rsidRDefault="00297F18" w:rsidP="00297F18">
      <w:pPr>
        <w:pStyle w:val="GvdeMetni"/>
        <w:kinsoku w:val="0"/>
        <w:overflowPunct w:val="0"/>
        <w:spacing w:before="203" w:line="230" w:lineRule="auto"/>
        <w:ind w:left="184" w:right="114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  <w:spacing w:val="-4"/>
        </w:rPr>
        <w:t>26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Kasım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2013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tarihinde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Concominvest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SLU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tarafından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“INMOBILIARIA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PORTIXOL”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kelime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>
        <w:rPr>
          <w:rFonts w:asciiTheme="minorHAnsi" w:hAnsiTheme="minorHAnsi" w:cstheme="minorHAnsi"/>
          <w:spacing w:val="-4"/>
        </w:rPr>
        <w:t>markası</w:t>
      </w:r>
      <w:r w:rsidRPr="00297F18">
        <w:rPr>
          <w:rFonts w:asciiTheme="minorHAnsi" w:hAnsiTheme="minorHAnsi" w:cstheme="minorHAnsi"/>
          <w:spacing w:val="-2"/>
        </w:rPr>
        <w:t>nın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36.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sınıftaki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“gayrimenkul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(emlakçılık)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hizmetleri”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bakımından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tescili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için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başvuru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yapılmıştır.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 xml:space="preserve">11 </w:t>
      </w:r>
      <w:r w:rsidRPr="00297F18">
        <w:rPr>
          <w:rFonts w:asciiTheme="minorHAnsi" w:hAnsiTheme="minorHAnsi" w:cstheme="minorHAnsi"/>
        </w:rPr>
        <w:t>Nisan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2014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tarihinde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bu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başvuru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tescil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edilmiştir.</w:t>
      </w:r>
    </w:p>
    <w:p w:rsidR="00297F18" w:rsidRPr="00297F18" w:rsidRDefault="00297F18" w:rsidP="00297F18">
      <w:pPr>
        <w:pStyle w:val="GvdeMetni"/>
        <w:kinsoku w:val="0"/>
        <w:overflowPunct w:val="0"/>
        <w:spacing w:before="5"/>
        <w:rPr>
          <w:rFonts w:asciiTheme="minorHAnsi" w:hAnsiTheme="minorHAnsi" w:cstheme="minorHAnsi"/>
          <w:sz w:val="15"/>
          <w:szCs w:val="15"/>
        </w:rPr>
      </w:pPr>
      <w:r w:rsidRPr="00297F18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page">
                  <wp:posOffset>2272665</wp:posOffset>
                </wp:positionH>
                <wp:positionV relativeFrom="paragraph">
                  <wp:posOffset>135890</wp:posOffset>
                </wp:positionV>
                <wp:extent cx="3365500" cy="533400"/>
                <wp:effectExtent l="0" t="0" r="635" b="1270"/>
                <wp:wrapTopAndBottom/>
                <wp:docPr id="4" name="Dikdörtgen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655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7F18" w:rsidRDefault="00297F18" w:rsidP="00297F18">
                            <w:pPr>
                              <w:widowControl/>
                              <w:autoSpaceDE/>
                              <w:autoSpaceDN/>
                              <w:adjustRightInd/>
                              <w:spacing w:line="840" w:lineRule="atLeast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3362325" cy="533400"/>
                                  <wp:effectExtent l="0" t="0" r="9525" b="0"/>
                                  <wp:docPr id="3" name="Resi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62325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297F18" w:rsidRDefault="00297F18" w:rsidP="00297F18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4" o:spid="_x0000_s1026" style="position:absolute;margin-left:178.95pt;margin-top:10.7pt;width:265pt;height:42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" o:allowincell="f" filled="f" stroked="f">
                <v:textbox inset="0,0,0,0">
                  <w:txbxContent>
                    <w:p w:rsidR="00297F18" w:rsidRDefault="00297F18" w:rsidP="00297F18">
                      <w:pPr>
                        <w:widowControl/>
                        <w:autoSpaceDE/>
                        <w:autoSpaceDN/>
                        <w:adjustRightInd/>
                        <w:spacing w:line="840" w:lineRule="atLeast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en-US" w:eastAsia="en-US"/>
                        </w:rPr>
                        <w:drawing>
                          <wp:inline distT="0" distB="0" distL="0" distR="0">
                            <wp:extent cx="3362325" cy="533400"/>
                            <wp:effectExtent l="0" t="0" r="9525" b="0"/>
                            <wp:docPr id="3" name="Resi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62325" cy="5334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297F18" w:rsidRDefault="00297F18" w:rsidP="00297F18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</w:p>
    <w:p w:rsidR="00297F18" w:rsidRPr="00297F18" w:rsidRDefault="00297F18" w:rsidP="00297F18">
      <w:pPr>
        <w:pStyle w:val="GvdeMetni"/>
        <w:kinsoku w:val="0"/>
        <w:overflowPunct w:val="0"/>
        <w:spacing w:before="183" w:line="230" w:lineRule="auto"/>
        <w:ind w:left="184" w:right="114"/>
        <w:jc w:val="both"/>
        <w:rPr>
          <w:rFonts w:asciiTheme="minorHAnsi" w:hAnsiTheme="minorHAnsi" w:cstheme="minorHAnsi"/>
          <w:spacing w:val="-6"/>
        </w:rPr>
      </w:pPr>
      <w:r w:rsidRPr="00297F18">
        <w:rPr>
          <w:rFonts w:asciiTheme="minorHAnsi" w:hAnsiTheme="minorHAnsi" w:cstheme="minorHAnsi"/>
          <w:spacing w:val="-6"/>
        </w:rPr>
        <w:t>12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Haziran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2015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tarihine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gelindiğinde,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Mallorca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Mietboerse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S.L.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tarafından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söz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konusu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markanın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6"/>
        </w:rPr>
        <w:t>tes</w:t>
      </w:r>
      <w:r w:rsidRPr="00297F18">
        <w:rPr>
          <w:rFonts w:asciiTheme="minorHAnsi" w:hAnsiTheme="minorHAnsi" w:cstheme="minorHAnsi"/>
          <w:spacing w:val="-6"/>
        </w:rPr>
        <w:t>cilli olduğu tüm hizmetler bakımından hükümsüzlüğü talep edilmişti</w:t>
      </w:r>
      <w:r>
        <w:rPr>
          <w:rFonts w:asciiTheme="minorHAnsi" w:hAnsiTheme="minorHAnsi" w:cstheme="minorHAnsi"/>
          <w:spacing w:val="-6"/>
        </w:rPr>
        <w:t>r. Hükümsüzlük talebinin dayan</w:t>
      </w:r>
      <w:r w:rsidRPr="00297F18">
        <w:rPr>
          <w:rFonts w:asciiTheme="minorHAnsi" w:hAnsiTheme="minorHAnsi" w:cstheme="minorHAnsi"/>
          <w:w w:val="90"/>
        </w:rPr>
        <w:t>dırıldığı sebeplerin başında; “PORTIXOL” ibaresinin İspanya’nın Palma de Mallorca şehrinde bulunan</w:t>
      </w:r>
      <w:r w:rsidRPr="00297F18">
        <w:rPr>
          <w:rFonts w:asciiTheme="minorHAnsi" w:hAnsiTheme="minorHAnsi" w:cstheme="minorHAnsi"/>
          <w:spacing w:val="40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eski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bir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yerleşim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yerinin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adı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olması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ve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bu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yerin,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bu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bölgeden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taşınmaz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satın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almak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isteyen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 xml:space="preserve">yabancılar </w:t>
      </w:r>
      <w:r w:rsidRPr="00297F18">
        <w:rPr>
          <w:rFonts w:asciiTheme="minorHAnsi" w:hAnsiTheme="minorHAnsi" w:cstheme="minorHAnsi"/>
          <w:w w:val="90"/>
        </w:rPr>
        <w:t>tarafından da oldukça iyi bilinen bir yer olmasından dolayı “gayrimenku</w:t>
      </w:r>
      <w:r>
        <w:rPr>
          <w:rFonts w:asciiTheme="minorHAnsi" w:hAnsiTheme="minorHAnsi" w:cstheme="minorHAnsi"/>
          <w:w w:val="90"/>
        </w:rPr>
        <w:t>l (emlakçılık) hizmetleri” bakı</w:t>
      </w:r>
      <w:r w:rsidRPr="00297F18">
        <w:rPr>
          <w:rFonts w:asciiTheme="minorHAnsi" w:hAnsiTheme="minorHAnsi" w:cstheme="minorHAnsi"/>
          <w:spacing w:val="-6"/>
        </w:rPr>
        <w:t>mından tanımlayıcı olması ve ayırt ediciliğe sahip olmaması iddiaları gelmektedir.</w:t>
      </w:r>
    </w:p>
    <w:p w:rsidR="00297F18" w:rsidRPr="00297F18" w:rsidRDefault="00297F18" w:rsidP="00297F18">
      <w:pPr>
        <w:pStyle w:val="GvdeMetni"/>
        <w:kinsoku w:val="0"/>
        <w:overflowPunct w:val="0"/>
        <w:spacing w:before="104" w:line="230" w:lineRule="auto"/>
        <w:ind w:left="181" w:right="115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  <w:w w:val="90"/>
        </w:rPr>
        <w:t>Hükümsüzlük talebinde söz konusu markanın sadece hizmetin verildiği coğrafi yere atıfta bulunduğu</w:t>
      </w:r>
      <w:r w:rsidRPr="00297F18">
        <w:rPr>
          <w:rFonts w:asciiTheme="minorHAnsi" w:hAnsiTheme="minorHAnsi" w:cstheme="minorHAnsi"/>
          <w:spacing w:val="80"/>
          <w:w w:val="150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ve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kullanılan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grafik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unsurların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da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markaya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ayırt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edicilik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kazandırmadığı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belirtilmiştir.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“Emlakçı”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 xml:space="preserve">an- </w:t>
      </w:r>
      <w:r w:rsidRPr="00297F18">
        <w:rPr>
          <w:rFonts w:asciiTheme="minorHAnsi" w:hAnsiTheme="minorHAnsi" w:cstheme="minorHAnsi"/>
          <w:spacing w:val="-4"/>
        </w:rPr>
        <w:t>lamına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gelen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“INMOBILIARIA” kelimesi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ile bir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coğrafi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yer adı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olan “PORTIXOL”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kelimesinin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 xml:space="preserve">bir </w:t>
      </w:r>
      <w:r w:rsidRPr="00297F18">
        <w:rPr>
          <w:rFonts w:asciiTheme="minorHAnsi" w:hAnsiTheme="minorHAnsi" w:cstheme="minorHAnsi"/>
          <w:spacing w:val="-12"/>
        </w:rPr>
        <w:t>araya</w:t>
      </w:r>
      <w:r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getirilmesiyle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oluşturulan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“INMOBILIARIA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PORTIXOL”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ibaresi;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hükümsüzlük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talebi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sahibine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göre,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aynı hizmetle işti</w:t>
      </w:r>
      <w:r>
        <w:rPr>
          <w:rFonts w:asciiTheme="minorHAnsi" w:hAnsiTheme="minorHAnsi" w:cstheme="minorHAnsi"/>
          <w:spacing w:val="-4"/>
        </w:rPr>
        <w:t xml:space="preserve">gal eden üçüncü kişilerin kendi </w:t>
      </w:r>
      <w:r w:rsidRPr="00297F18">
        <w:rPr>
          <w:rFonts w:asciiTheme="minorHAnsi" w:hAnsiTheme="minorHAnsi" w:cstheme="minorHAnsi"/>
          <w:spacing w:val="-4"/>
        </w:rPr>
        <w:t xml:space="preserve">işleri kapsamında genel </w:t>
      </w:r>
      <w:r>
        <w:rPr>
          <w:rFonts w:asciiTheme="minorHAnsi" w:hAnsiTheme="minorHAnsi" w:cstheme="minorHAnsi"/>
          <w:spacing w:val="-4"/>
        </w:rPr>
        <w:t>bir ifadeyi kullanmasını engel</w:t>
      </w:r>
      <w:r w:rsidRPr="00297F18">
        <w:rPr>
          <w:rFonts w:asciiTheme="minorHAnsi" w:hAnsiTheme="minorHAnsi" w:cstheme="minorHAnsi"/>
          <w:spacing w:val="-2"/>
        </w:rPr>
        <w:t>leyeceğinden,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tek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bir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kişinin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tekeline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verilemeyecek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niteliktedir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ve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tescil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edilmesi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hukuka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 xml:space="preserve">aykırıdır. </w:t>
      </w:r>
      <w:r w:rsidRPr="00297F18">
        <w:rPr>
          <w:rFonts w:asciiTheme="minorHAnsi" w:hAnsiTheme="minorHAnsi" w:cstheme="minorHAnsi"/>
          <w:spacing w:val="-4"/>
        </w:rPr>
        <w:t>Ayrıca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Mallorca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Mietboerse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S.L,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15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yılı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aşkın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süredir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bu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ibareyi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kullanarak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hizmet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verdiğini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 xml:space="preserve">marka </w:t>
      </w:r>
      <w:r w:rsidRPr="00297F18">
        <w:rPr>
          <w:rFonts w:asciiTheme="minorHAnsi" w:hAnsiTheme="minorHAnsi" w:cstheme="minorHAnsi"/>
          <w:w w:val="90"/>
        </w:rPr>
        <w:t xml:space="preserve">sahibinin bundan haberdar olarak aynı sektörde, aynı ibarenin tescilini talep ettiğini; bu sebeple, kötü niyetli olduğunu da vurgulamıştır. Talep sahibi, belirtmiş olduğumuz iddiaları kanıtlamak adına birçok </w:t>
      </w:r>
      <w:r w:rsidRPr="00297F18">
        <w:rPr>
          <w:rFonts w:asciiTheme="minorHAnsi" w:hAnsiTheme="minorHAnsi" w:cstheme="minorHAnsi"/>
        </w:rPr>
        <w:t>delil sunulmuştur.</w:t>
      </w:r>
    </w:p>
    <w:p w:rsidR="00297F18" w:rsidRPr="00297F18" w:rsidRDefault="00297F18" w:rsidP="00297F18">
      <w:pPr>
        <w:pStyle w:val="GvdeMetni"/>
        <w:kinsoku w:val="0"/>
        <w:overflowPunct w:val="0"/>
        <w:spacing w:before="208" w:line="230" w:lineRule="auto"/>
        <w:ind w:left="181" w:right="115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</w:rPr>
        <w:t>İptal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Birimi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tüm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iddiaları,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sunulan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delilleri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ve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bunlara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karşı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verilmiş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olan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cevapları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incelemiş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ve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17 Aralık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</w:rPr>
        <w:t>2015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</w:rPr>
        <w:t>tarihinde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</w:rPr>
        <w:t>bir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</w:rPr>
        <w:t>karar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</w:rPr>
        <w:t>vermiştir.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</w:rPr>
        <w:t>Bu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</w:rPr>
        <w:t>karar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</w:rPr>
        <w:t>sonucunda;</w:t>
      </w:r>
    </w:p>
    <w:p w:rsidR="00297F18" w:rsidRPr="00297F18" w:rsidRDefault="00297F18" w:rsidP="00297F18">
      <w:pPr>
        <w:pStyle w:val="GvdeMetni"/>
        <w:kinsoku w:val="0"/>
        <w:overflowPunct w:val="0"/>
        <w:spacing w:before="207" w:line="230" w:lineRule="auto"/>
        <w:ind w:left="184" w:right="115"/>
        <w:jc w:val="both"/>
        <w:rPr>
          <w:rFonts w:asciiTheme="minorHAnsi" w:hAnsiTheme="minorHAnsi" w:cstheme="minorHAnsi"/>
          <w:spacing w:val="-12"/>
        </w:rPr>
      </w:pPr>
    </w:p>
    <w:p w:rsidR="00297F18" w:rsidRPr="00297F18" w:rsidRDefault="00297F18" w:rsidP="00297F18">
      <w:pPr>
        <w:pStyle w:val="GvdeMetni"/>
        <w:kinsoku w:val="0"/>
        <w:overflowPunct w:val="0"/>
        <w:rPr>
          <w:rFonts w:asciiTheme="minorHAnsi" w:hAnsiTheme="minorHAnsi" w:cstheme="minorHAnsi"/>
          <w:sz w:val="28"/>
          <w:szCs w:val="28"/>
        </w:rPr>
      </w:pPr>
      <w:r w:rsidRPr="00297F18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0288" behindDoc="0" locked="0" layoutInCell="0" allowOverlap="1">
                <wp:simplePos x="0" y="0"/>
                <wp:positionH relativeFrom="page">
                  <wp:posOffset>827405</wp:posOffset>
                </wp:positionH>
                <wp:positionV relativeFrom="paragraph">
                  <wp:posOffset>233045</wp:posOffset>
                </wp:positionV>
                <wp:extent cx="6260465" cy="635"/>
                <wp:effectExtent l="8255" t="13335" r="8255" b="5080"/>
                <wp:wrapTopAndBottom/>
                <wp:docPr id="2" name="Serbest 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0465" cy="635"/>
                        </a:xfrm>
                        <a:custGeom>
                          <a:avLst/>
                          <a:gdLst>
                            <a:gd name="T0" fmla="*/ 0 w 9859"/>
                            <a:gd name="T1" fmla="*/ 0 h 1"/>
                            <a:gd name="T2" fmla="*/ 9858 w 9859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59" h="1">
                              <a:moveTo>
                                <a:pt x="0" y="0"/>
                              </a:moveTo>
                              <a:lnTo>
                                <a:pt x="9858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D29B1B8" id="Serbest Form 2" o:spid="_x0000_s1026" style="position:absolute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15pt,18.35pt,558.05pt,18.35pt" coordsize="9859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" o:allowincell="f" filled="f" strokecolor="#3259bf" strokeweight=".2mm">
                <v:path arrowok="t" o:connecttype="custom" o:connectlocs="0,0;6259830,0" o:connectangles="0,0"/>
                <w10:wrap type="topAndBottom" anchorx="page"/>
              </v:polyline>
            </w:pict>
          </mc:Fallback>
        </mc:AlternateContent>
      </w:r>
    </w:p>
    <w:p w:rsidR="00297F18" w:rsidRPr="00297F18" w:rsidRDefault="00297F18" w:rsidP="00297F18">
      <w:pPr>
        <w:pStyle w:val="GvdeMetni"/>
        <w:kinsoku w:val="0"/>
        <w:overflowPunct w:val="0"/>
        <w:spacing w:before="29"/>
        <w:ind w:left="183"/>
        <w:rPr>
          <w:rFonts w:asciiTheme="minorHAnsi" w:hAnsiTheme="minorHAnsi" w:cstheme="minorHAnsi"/>
          <w:spacing w:val="-10"/>
          <w:w w:val="90"/>
          <w:sz w:val="18"/>
          <w:szCs w:val="18"/>
        </w:rPr>
      </w:pPr>
      <w:r w:rsidRPr="00297F18">
        <w:rPr>
          <w:rFonts w:asciiTheme="minorHAnsi" w:hAnsiTheme="minorHAnsi" w:cstheme="minorHAnsi"/>
          <w:w w:val="90"/>
          <w:sz w:val="18"/>
          <w:szCs w:val="18"/>
        </w:rPr>
        <w:t>1</w:t>
      </w:r>
      <w:r w:rsidRPr="00297F18">
        <w:rPr>
          <w:rFonts w:asciiTheme="minorHAnsi" w:hAnsiTheme="minorHAnsi" w:cstheme="minorHAnsi"/>
          <w:spacing w:val="35"/>
          <w:sz w:val="18"/>
          <w:szCs w:val="18"/>
        </w:rPr>
        <w:t xml:space="preserve"> </w:t>
      </w:r>
      <w:r w:rsidRPr="00297F18">
        <w:rPr>
          <w:rFonts w:asciiTheme="minorHAnsi" w:hAnsiTheme="minorHAnsi" w:cstheme="minorHAnsi"/>
          <w:w w:val="90"/>
          <w:sz w:val="18"/>
          <w:szCs w:val="18"/>
        </w:rPr>
        <w:t>R0368/2016-</w:t>
      </w:r>
      <w:r w:rsidRPr="00297F18">
        <w:rPr>
          <w:rFonts w:asciiTheme="minorHAnsi" w:hAnsiTheme="minorHAnsi" w:cstheme="minorHAnsi"/>
          <w:spacing w:val="-10"/>
          <w:w w:val="90"/>
          <w:sz w:val="18"/>
          <w:szCs w:val="18"/>
        </w:rPr>
        <w:t>G</w:t>
      </w:r>
    </w:p>
    <w:p w:rsidR="00297F18" w:rsidRPr="00297F18" w:rsidRDefault="00297F18" w:rsidP="00297F18">
      <w:pPr>
        <w:pStyle w:val="GvdeMetni"/>
        <w:kinsoku w:val="0"/>
        <w:overflowPunct w:val="0"/>
        <w:spacing w:before="29"/>
        <w:ind w:left="183"/>
        <w:rPr>
          <w:rFonts w:asciiTheme="minorHAnsi" w:hAnsiTheme="minorHAnsi" w:cstheme="minorHAnsi"/>
          <w:spacing w:val="-10"/>
          <w:w w:val="90"/>
          <w:sz w:val="18"/>
          <w:szCs w:val="18"/>
        </w:rPr>
        <w:sectPr w:rsidR="00297F18" w:rsidRPr="00297F18" w:rsidSect="00297F18">
          <w:pgSz w:w="12240" w:h="15840"/>
          <w:pgMar w:top="1040" w:right="1041" w:bottom="1160" w:left="1120" w:header="737" w:footer="977" w:gutter="0"/>
          <w:cols w:space="708"/>
          <w:noEndnote/>
        </w:sectPr>
      </w:pPr>
    </w:p>
    <w:p w:rsidR="00297F18" w:rsidRPr="00297F18" w:rsidRDefault="00297F18" w:rsidP="00297F18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297F18" w:rsidRPr="00297F18" w:rsidRDefault="00297F18" w:rsidP="00297F18">
      <w:pPr>
        <w:pStyle w:val="Balk5"/>
        <w:kinsoku w:val="0"/>
        <w:overflowPunct w:val="0"/>
        <w:rPr>
          <w:rFonts w:asciiTheme="minorHAnsi" w:hAnsiTheme="minorHAnsi" w:cstheme="minorHAnsi"/>
          <w:spacing w:val="-2"/>
          <w:w w:val="90"/>
        </w:rPr>
      </w:pPr>
      <w:r w:rsidRPr="00297F18">
        <w:rPr>
          <w:rFonts w:asciiTheme="minorHAnsi" w:hAnsiTheme="minorHAnsi" w:cstheme="minorHAnsi"/>
          <w:w w:val="90"/>
        </w:rPr>
        <w:t>Tanımlayıcılık</w:t>
      </w:r>
      <w:r w:rsidRPr="00297F18">
        <w:rPr>
          <w:rFonts w:asciiTheme="minorHAnsi" w:hAnsiTheme="minorHAnsi" w:cstheme="minorHAnsi"/>
          <w:spacing w:val="8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ve</w:t>
      </w:r>
      <w:r w:rsidRPr="00297F18">
        <w:rPr>
          <w:rFonts w:asciiTheme="minorHAnsi" w:hAnsiTheme="minorHAnsi" w:cstheme="minorHAnsi"/>
          <w:spacing w:val="10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ayırt</w:t>
      </w:r>
      <w:r w:rsidRPr="00297F18">
        <w:rPr>
          <w:rFonts w:asciiTheme="minorHAnsi" w:hAnsiTheme="minorHAnsi" w:cstheme="minorHAnsi"/>
          <w:spacing w:val="10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edicilik</w:t>
      </w:r>
      <w:r w:rsidRPr="00297F18">
        <w:rPr>
          <w:rFonts w:asciiTheme="minorHAnsi" w:hAnsiTheme="minorHAnsi" w:cstheme="minorHAnsi"/>
          <w:spacing w:val="11"/>
        </w:rPr>
        <w:t xml:space="preserve"> </w:t>
      </w:r>
      <w:r w:rsidRPr="00297F18">
        <w:rPr>
          <w:rFonts w:asciiTheme="minorHAnsi" w:hAnsiTheme="minorHAnsi" w:cstheme="minorHAnsi"/>
          <w:spacing w:val="-2"/>
          <w:w w:val="90"/>
        </w:rPr>
        <w:t>bakımından</w:t>
      </w:r>
    </w:p>
    <w:p w:rsidR="00297F18" w:rsidRPr="00297F18" w:rsidRDefault="00297F18" w:rsidP="00297F18">
      <w:pPr>
        <w:pStyle w:val="ListeParagraf"/>
        <w:numPr>
          <w:ilvl w:val="0"/>
          <w:numId w:val="3"/>
        </w:numPr>
        <w:tabs>
          <w:tab w:val="left" w:pos="748"/>
        </w:tabs>
        <w:kinsoku w:val="0"/>
        <w:overflowPunct w:val="0"/>
        <w:spacing w:before="199" w:line="23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F18">
        <w:rPr>
          <w:rFonts w:asciiTheme="minorHAnsi" w:hAnsiTheme="minorHAnsi" w:cstheme="minorHAnsi"/>
          <w:spacing w:val="-2"/>
          <w:sz w:val="22"/>
          <w:szCs w:val="22"/>
        </w:rPr>
        <w:t>Sunulan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deliller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ile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markayı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oluşturan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ibarelerden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coğrafi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yer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adı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olan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“PORTIXOL”’un,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 xml:space="preserve">halk </w:t>
      </w:r>
      <w:r w:rsidRPr="00297F18">
        <w:rPr>
          <w:rFonts w:asciiTheme="minorHAnsi" w:hAnsiTheme="minorHAnsi" w:cstheme="minorHAnsi"/>
          <w:w w:val="90"/>
          <w:sz w:val="22"/>
          <w:szCs w:val="22"/>
        </w:rPr>
        <w:t xml:space="preserve">arasında yaygın olarak bilindiğine dair bir kanı oluşmadığına ve bu yaygın bilinirlik ve kullanımın </w:t>
      </w:r>
      <w:r w:rsidRPr="00297F18">
        <w:rPr>
          <w:rFonts w:asciiTheme="minorHAnsi" w:hAnsiTheme="minorHAnsi" w:cstheme="minorHAnsi"/>
          <w:sz w:val="22"/>
          <w:szCs w:val="22"/>
        </w:rPr>
        <w:t>kanıtlanamadığına karar verilmiştir.</w:t>
      </w:r>
    </w:p>
    <w:p w:rsidR="00297F18" w:rsidRPr="00297F18" w:rsidRDefault="00297F18" w:rsidP="00297F18">
      <w:pPr>
        <w:pStyle w:val="ListeParagraf"/>
        <w:numPr>
          <w:ilvl w:val="0"/>
          <w:numId w:val="3"/>
        </w:numPr>
        <w:tabs>
          <w:tab w:val="left" w:pos="748"/>
        </w:tabs>
        <w:kinsoku w:val="0"/>
        <w:overflowPunct w:val="0"/>
        <w:spacing w:before="204" w:line="230" w:lineRule="auto"/>
        <w:jc w:val="both"/>
        <w:rPr>
          <w:rFonts w:asciiTheme="minorHAnsi" w:hAnsiTheme="minorHAnsi" w:cstheme="minorHAnsi"/>
          <w:spacing w:val="-6"/>
          <w:sz w:val="22"/>
          <w:szCs w:val="22"/>
        </w:rPr>
      </w:pPr>
      <w:r w:rsidRPr="00297F18">
        <w:rPr>
          <w:rFonts w:asciiTheme="minorHAnsi" w:hAnsiTheme="minorHAnsi" w:cstheme="minorHAnsi"/>
          <w:spacing w:val="-2"/>
          <w:sz w:val="22"/>
          <w:szCs w:val="22"/>
        </w:rPr>
        <w:t>Ayrıca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tescil</w:t>
      </w:r>
      <w:r w:rsidRPr="00297F1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kapsamındaki</w:t>
      </w:r>
      <w:r w:rsidRPr="00297F1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“gayrimenkul</w:t>
      </w:r>
      <w:r w:rsidRPr="00297F1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(emlakçılık)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hizmetleri”</w:t>
      </w:r>
      <w:r w:rsidRPr="00297F1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ile</w:t>
      </w:r>
      <w:r w:rsidRPr="00297F1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markanın</w:t>
      </w:r>
      <w:r w:rsidRPr="00297F18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arasındaki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>
        <w:rPr>
          <w:rFonts w:asciiTheme="minorHAnsi" w:hAnsiTheme="minorHAnsi" w:cstheme="minorHAnsi"/>
          <w:spacing w:val="-2"/>
          <w:sz w:val="22"/>
          <w:szCs w:val="22"/>
        </w:rPr>
        <w:t>iliş</w:t>
      </w:r>
      <w:r w:rsidRPr="00297F18">
        <w:rPr>
          <w:rFonts w:asciiTheme="minorHAnsi" w:hAnsiTheme="minorHAnsi" w:cstheme="minorHAnsi"/>
          <w:sz w:val="22"/>
          <w:szCs w:val="22"/>
        </w:rPr>
        <w:t>kiyi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kanıtlamak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amacıyla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sunulan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delillerin,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hizmetler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ile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marka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arasındaki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ilintiyi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ve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 xml:space="preserve">ileride 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tüketiciler bakımından ortaya çıkabilecek olan ilişkilendirmeye dair öngörülebilir bir tehlikenin </w:t>
      </w:r>
      <w:r w:rsidRPr="00297F18">
        <w:rPr>
          <w:rFonts w:asciiTheme="minorHAnsi" w:hAnsiTheme="minorHAnsi" w:cstheme="minorHAnsi"/>
          <w:sz w:val="22"/>
          <w:szCs w:val="22"/>
        </w:rPr>
        <w:t>söz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konusu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olduğunu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ispat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edecek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yeterlilikte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olmadığı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belirtilmiştir.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“PORTIXOL”</w:t>
      </w:r>
      <w:r w:rsidRPr="00297F18">
        <w:rPr>
          <w:rFonts w:asciiTheme="minorHAnsi" w:hAnsiTheme="minorHAnsi" w:cstheme="minorHAnsi"/>
          <w:spacing w:val="-14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 xml:space="preserve">ibaresinin 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>de “gayrimenkul (emlakçılık) hizmetleri” ile doğrudan bağlantılı olmadığı ve bu ibareyi gören tüketicilerin aklında “gayrimenkul (emlakçılık) hizmetleri”nin canlanmadığı kanısına varılmıştır.</w:t>
      </w:r>
    </w:p>
    <w:p w:rsidR="00297F18" w:rsidRPr="00297F18" w:rsidRDefault="00297F18" w:rsidP="00297F18">
      <w:pPr>
        <w:pStyle w:val="GvdeMetni"/>
        <w:kinsoku w:val="0"/>
        <w:overflowPunct w:val="0"/>
        <w:spacing w:before="206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  <w:r w:rsidRPr="00297F18">
        <w:rPr>
          <w:rFonts w:asciiTheme="minorHAnsi" w:hAnsiTheme="minorHAnsi" w:cstheme="minorHAnsi"/>
          <w:spacing w:val="-6"/>
        </w:rPr>
        <w:t>Her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ne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kadar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“INMOBILIARIA”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ibaresi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taşıdığı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anlam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gereği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“gayrimenkul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(emlakçılık)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hizmetleri”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6"/>
        </w:rPr>
        <w:t>ba</w:t>
      </w:r>
      <w:r w:rsidRPr="00297F18">
        <w:rPr>
          <w:rFonts w:asciiTheme="minorHAnsi" w:hAnsiTheme="minorHAnsi" w:cstheme="minorHAnsi"/>
          <w:w w:val="90"/>
        </w:rPr>
        <w:t xml:space="preserve">kımından tanımlayıcı olsa da incelemeye konu markanın bütünsel olarak incelenmesi gerektiğinden </w:t>
      </w:r>
      <w:r w:rsidRPr="00297F18">
        <w:rPr>
          <w:rFonts w:asciiTheme="minorHAnsi" w:hAnsiTheme="minorHAnsi" w:cstheme="minorHAnsi"/>
          <w:spacing w:val="-4"/>
        </w:rPr>
        <w:t>markanın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tanımlayıcı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olmadığının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ayırt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edici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olduğunun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kabulüne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karar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verilmiştir.</w:t>
      </w:r>
    </w:p>
    <w:p w:rsidR="00297F18" w:rsidRPr="00297F18" w:rsidRDefault="00297F18" w:rsidP="00297F18">
      <w:pPr>
        <w:pStyle w:val="Balk5"/>
        <w:kinsoku w:val="0"/>
        <w:overflowPunct w:val="0"/>
        <w:spacing w:before="195"/>
        <w:rPr>
          <w:rFonts w:asciiTheme="minorHAnsi" w:hAnsiTheme="minorHAnsi" w:cstheme="minorHAnsi"/>
          <w:spacing w:val="-2"/>
          <w:w w:val="90"/>
        </w:rPr>
      </w:pPr>
      <w:r w:rsidRPr="00297F18">
        <w:rPr>
          <w:rFonts w:asciiTheme="minorHAnsi" w:hAnsiTheme="minorHAnsi" w:cstheme="minorHAnsi"/>
          <w:w w:val="90"/>
        </w:rPr>
        <w:t>Kötü</w:t>
      </w:r>
      <w:r w:rsidRPr="00297F18">
        <w:rPr>
          <w:rFonts w:asciiTheme="minorHAnsi" w:hAnsiTheme="minorHAnsi" w:cstheme="minorHAnsi"/>
          <w:spacing w:val="11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niyet</w:t>
      </w:r>
      <w:r w:rsidRPr="00297F18">
        <w:rPr>
          <w:rFonts w:asciiTheme="minorHAnsi" w:hAnsiTheme="minorHAnsi" w:cstheme="minorHAnsi"/>
          <w:spacing w:val="11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iddiaları</w:t>
      </w:r>
      <w:r w:rsidRPr="00297F18">
        <w:rPr>
          <w:rFonts w:asciiTheme="minorHAnsi" w:hAnsiTheme="minorHAnsi" w:cstheme="minorHAnsi"/>
          <w:spacing w:val="11"/>
        </w:rPr>
        <w:t xml:space="preserve"> </w:t>
      </w:r>
      <w:r w:rsidRPr="00297F18">
        <w:rPr>
          <w:rFonts w:asciiTheme="minorHAnsi" w:hAnsiTheme="minorHAnsi" w:cstheme="minorHAnsi"/>
          <w:spacing w:val="-2"/>
          <w:w w:val="90"/>
        </w:rPr>
        <w:t>bakımından</w:t>
      </w:r>
    </w:p>
    <w:p w:rsidR="00297F18" w:rsidRPr="00297F18" w:rsidRDefault="00297F18" w:rsidP="00297F18">
      <w:pPr>
        <w:pStyle w:val="GvdeMetni"/>
        <w:kinsoku w:val="0"/>
        <w:overflowPunct w:val="0"/>
        <w:spacing w:before="199" w:line="230" w:lineRule="auto"/>
        <w:ind w:left="181" w:right="115"/>
        <w:jc w:val="both"/>
        <w:rPr>
          <w:rFonts w:asciiTheme="minorHAnsi" w:hAnsiTheme="minorHAnsi" w:cstheme="minorHAnsi"/>
          <w:spacing w:val="-2"/>
          <w:w w:val="90"/>
        </w:rPr>
      </w:pPr>
      <w:r w:rsidRPr="00297F18">
        <w:rPr>
          <w:rFonts w:asciiTheme="minorHAnsi" w:hAnsiTheme="minorHAnsi" w:cstheme="minorHAnsi"/>
          <w:spacing w:val="-6"/>
        </w:rPr>
        <w:t>Kötü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niyetin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kabul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edilmesi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için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aranan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koşulların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oluşmadığı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ve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Mallorca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Mietboerse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S.L.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 xml:space="preserve">tarafından </w:t>
      </w:r>
      <w:r w:rsidRPr="00297F18">
        <w:rPr>
          <w:rFonts w:asciiTheme="minorHAnsi" w:hAnsiTheme="minorHAnsi" w:cstheme="minorHAnsi"/>
          <w:w w:val="90"/>
        </w:rPr>
        <w:t>kötü</w:t>
      </w:r>
      <w:r w:rsidRPr="00297F18">
        <w:rPr>
          <w:rFonts w:asciiTheme="minorHAnsi" w:hAnsiTheme="minorHAnsi" w:cstheme="minorHAnsi"/>
          <w:spacing w:val="12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niyetin</w:t>
      </w:r>
      <w:r w:rsidRPr="00297F18">
        <w:rPr>
          <w:rFonts w:asciiTheme="minorHAnsi" w:hAnsiTheme="minorHAnsi" w:cstheme="minorHAnsi"/>
          <w:spacing w:val="13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yeterli</w:t>
      </w:r>
      <w:r w:rsidRPr="00297F18">
        <w:rPr>
          <w:rFonts w:asciiTheme="minorHAnsi" w:hAnsiTheme="minorHAnsi" w:cstheme="minorHAnsi"/>
          <w:spacing w:val="13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deliller</w:t>
      </w:r>
      <w:r w:rsidRPr="00297F18">
        <w:rPr>
          <w:rFonts w:asciiTheme="minorHAnsi" w:hAnsiTheme="minorHAnsi" w:cstheme="minorHAnsi"/>
          <w:spacing w:val="13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ile</w:t>
      </w:r>
      <w:r w:rsidRPr="00297F18">
        <w:rPr>
          <w:rFonts w:asciiTheme="minorHAnsi" w:hAnsiTheme="minorHAnsi" w:cstheme="minorHAnsi"/>
          <w:spacing w:val="13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kanıtlanmadığı</w:t>
      </w:r>
      <w:r w:rsidRPr="00297F18">
        <w:rPr>
          <w:rFonts w:asciiTheme="minorHAnsi" w:hAnsiTheme="minorHAnsi" w:cstheme="minorHAnsi"/>
          <w:spacing w:val="12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görüldüğünden</w:t>
      </w:r>
      <w:r w:rsidRPr="00297F18">
        <w:rPr>
          <w:rFonts w:asciiTheme="minorHAnsi" w:hAnsiTheme="minorHAnsi" w:cstheme="minorHAnsi"/>
          <w:spacing w:val="12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bu</w:t>
      </w:r>
      <w:r w:rsidRPr="00297F18">
        <w:rPr>
          <w:rFonts w:asciiTheme="minorHAnsi" w:hAnsiTheme="minorHAnsi" w:cstheme="minorHAnsi"/>
          <w:spacing w:val="13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iddianın</w:t>
      </w:r>
      <w:r w:rsidRPr="00297F18">
        <w:rPr>
          <w:rFonts w:asciiTheme="minorHAnsi" w:hAnsiTheme="minorHAnsi" w:cstheme="minorHAnsi"/>
          <w:spacing w:val="13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da</w:t>
      </w:r>
      <w:r w:rsidRPr="00297F18">
        <w:rPr>
          <w:rFonts w:asciiTheme="minorHAnsi" w:hAnsiTheme="minorHAnsi" w:cstheme="minorHAnsi"/>
          <w:spacing w:val="13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reddine</w:t>
      </w:r>
      <w:r w:rsidRPr="00297F18">
        <w:rPr>
          <w:rFonts w:asciiTheme="minorHAnsi" w:hAnsiTheme="minorHAnsi" w:cstheme="minorHAnsi"/>
          <w:spacing w:val="13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karar</w:t>
      </w:r>
      <w:r w:rsidRPr="00297F18">
        <w:rPr>
          <w:rFonts w:asciiTheme="minorHAnsi" w:hAnsiTheme="minorHAnsi" w:cstheme="minorHAnsi"/>
          <w:spacing w:val="13"/>
        </w:rPr>
        <w:t xml:space="preserve"> </w:t>
      </w:r>
      <w:r w:rsidRPr="00297F18">
        <w:rPr>
          <w:rFonts w:asciiTheme="minorHAnsi" w:hAnsiTheme="minorHAnsi" w:cstheme="minorHAnsi"/>
          <w:spacing w:val="-2"/>
          <w:w w:val="90"/>
        </w:rPr>
        <w:t>verilmiştir.</w:t>
      </w:r>
    </w:p>
    <w:p w:rsidR="00297F18" w:rsidRPr="00297F18" w:rsidRDefault="00297F18" w:rsidP="00297F18">
      <w:pPr>
        <w:pStyle w:val="Balk5"/>
        <w:kinsoku w:val="0"/>
        <w:overflowPunct w:val="0"/>
        <w:rPr>
          <w:rFonts w:asciiTheme="minorHAnsi" w:hAnsiTheme="minorHAnsi" w:cstheme="minorHAnsi"/>
          <w:spacing w:val="-2"/>
          <w:w w:val="90"/>
        </w:rPr>
      </w:pPr>
      <w:r w:rsidRPr="00297F18">
        <w:rPr>
          <w:rFonts w:asciiTheme="minorHAnsi" w:hAnsiTheme="minorHAnsi" w:cstheme="minorHAnsi"/>
          <w:w w:val="90"/>
        </w:rPr>
        <w:t>Tescilsiz</w:t>
      </w:r>
      <w:r w:rsidRPr="00297F18">
        <w:rPr>
          <w:rFonts w:asciiTheme="minorHAnsi" w:hAnsiTheme="minorHAnsi" w:cstheme="minorHAnsi"/>
          <w:spacing w:val="12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kullanıma</w:t>
      </w:r>
      <w:r w:rsidRPr="00297F18">
        <w:rPr>
          <w:rFonts w:asciiTheme="minorHAnsi" w:hAnsiTheme="minorHAnsi" w:cstheme="minorHAnsi"/>
          <w:spacing w:val="12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dayalı</w:t>
      </w:r>
      <w:r w:rsidRPr="00297F18">
        <w:rPr>
          <w:rFonts w:asciiTheme="minorHAnsi" w:hAnsiTheme="minorHAnsi" w:cstheme="minorHAnsi"/>
          <w:spacing w:val="12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hak</w:t>
      </w:r>
      <w:r w:rsidRPr="00297F18">
        <w:rPr>
          <w:rFonts w:asciiTheme="minorHAnsi" w:hAnsiTheme="minorHAnsi" w:cstheme="minorHAnsi"/>
          <w:spacing w:val="12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sahipliği</w:t>
      </w:r>
      <w:r w:rsidRPr="00297F18">
        <w:rPr>
          <w:rFonts w:asciiTheme="minorHAnsi" w:hAnsiTheme="minorHAnsi" w:cstheme="minorHAnsi"/>
          <w:spacing w:val="12"/>
        </w:rPr>
        <w:t xml:space="preserve"> </w:t>
      </w:r>
      <w:r w:rsidRPr="00297F18">
        <w:rPr>
          <w:rFonts w:asciiTheme="minorHAnsi" w:hAnsiTheme="minorHAnsi" w:cstheme="minorHAnsi"/>
          <w:w w:val="90"/>
        </w:rPr>
        <w:t>iddiaları</w:t>
      </w:r>
      <w:r w:rsidRPr="00297F18">
        <w:rPr>
          <w:rFonts w:asciiTheme="minorHAnsi" w:hAnsiTheme="minorHAnsi" w:cstheme="minorHAnsi"/>
          <w:spacing w:val="12"/>
        </w:rPr>
        <w:t xml:space="preserve"> </w:t>
      </w:r>
      <w:r w:rsidRPr="00297F18">
        <w:rPr>
          <w:rFonts w:asciiTheme="minorHAnsi" w:hAnsiTheme="minorHAnsi" w:cstheme="minorHAnsi"/>
          <w:spacing w:val="-2"/>
          <w:w w:val="90"/>
        </w:rPr>
        <w:t>bakımından</w:t>
      </w:r>
    </w:p>
    <w:p w:rsidR="00297F18" w:rsidRPr="00297F18" w:rsidRDefault="00297F18" w:rsidP="00297F18">
      <w:pPr>
        <w:pStyle w:val="GvdeMetni"/>
        <w:kinsoku w:val="0"/>
        <w:overflowPunct w:val="0"/>
        <w:spacing w:before="199" w:line="230" w:lineRule="auto"/>
        <w:ind w:left="181" w:right="115"/>
        <w:jc w:val="both"/>
        <w:rPr>
          <w:rFonts w:asciiTheme="minorHAnsi" w:hAnsiTheme="minorHAnsi" w:cstheme="minorHAnsi"/>
          <w:spacing w:val="-2"/>
        </w:rPr>
      </w:pPr>
      <w:r w:rsidRPr="00297F18">
        <w:rPr>
          <w:rFonts w:asciiTheme="minorHAnsi" w:hAnsiTheme="minorHAnsi" w:cstheme="minorHAnsi"/>
          <w:spacing w:val="-2"/>
        </w:rPr>
        <w:t>Mallorca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Mietboerse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S.L.,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tescilsiz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kullanımına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ve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korunmasına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ilişkin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koşullar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hakkında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hiçbir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 xml:space="preserve">bilgi </w:t>
      </w:r>
      <w:r w:rsidRPr="00297F18">
        <w:rPr>
          <w:rFonts w:asciiTheme="minorHAnsi" w:hAnsiTheme="minorHAnsi" w:cstheme="minorHAnsi"/>
          <w:spacing w:val="-8"/>
        </w:rPr>
        <w:t>vermediğinden,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dayanmış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olduğu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iddialarını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kanıtlayamamıştır.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Bu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nedenle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söz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konusu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iddia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 xml:space="preserve">redde- </w:t>
      </w:r>
      <w:r w:rsidRPr="00297F18">
        <w:rPr>
          <w:rFonts w:asciiTheme="minorHAnsi" w:hAnsiTheme="minorHAnsi" w:cstheme="minorHAnsi"/>
          <w:spacing w:val="-2"/>
        </w:rPr>
        <w:t>dilmiştir.</w:t>
      </w:r>
    </w:p>
    <w:p w:rsidR="00297F18" w:rsidRPr="00297F18" w:rsidRDefault="00297F18" w:rsidP="00297F18">
      <w:pPr>
        <w:pStyle w:val="ListeParagraf"/>
        <w:numPr>
          <w:ilvl w:val="0"/>
          <w:numId w:val="4"/>
        </w:numPr>
        <w:tabs>
          <w:tab w:val="left" w:pos="505"/>
        </w:tabs>
        <w:kinsoku w:val="0"/>
        <w:overflowPunct w:val="0"/>
        <w:spacing w:before="196"/>
        <w:ind w:left="505" w:right="0" w:hanging="324"/>
        <w:rPr>
          <w:rFonts w:asciiTheme="minorHAnsi" w:hAnsiTheme="minorHAnsi" w:cstheme="minorHAnsi"/>
          <w:b/>
          <w:bCs/>
          <w:spacing w:val="-2"/>
          <w:w w:val="90"/>
          <w:sz w:val="22"/>
          <w:szCs w:val="22"/>
        </w:rPr>
      </w:pPr>
      <w:r w:rsidRPr="00297F18">
        <w:rPr>
          <w:rFonts w:asciiTheme="minorHAnsi" w:hAnsiTheme="minorHAnsi" w:cstheme="minorHAnsi"/>
          <w:b/>
          <w:bCs/>
          <w:w w:val="90"/>
          <w:sz w:val="22"/>
          <w:szCs w:val="22"/>
        </w:rPr>
        <w:t>TEMYİZ</w:t>
      </w:r>
      <w:r w:rsidRPr="00297F1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90"/>
          <w:sz w:val="22"/>
          <w:szCs w:val="22"/>
        </w:rPr>
        <w:t>KURULU</w:t>
      </w:r>
      <w:r w:rsidRPr="00297F18">
        <w:rPr>
          <w:rFonts w:asciiTheme="minorHAnsi" w:hAnsiTheme="minorHAnsi" w:cstheme="minorHAnsi"/>
          <w:b/>
          <w:bCs/>
          <w:spacing w:val="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90"/>
          <w:sz w:val="22"/>
          <w:szCs w:val="22"/>
        </w:rPr>
        <w:t>BÜYÜK</w:t>
      </w:r>
      <w:r w:rsidRPr="00297F18">
        <w:rPr>
          <w:rFonts w:asciiTheme="minorHAnsi" w:hAnsiTheme="minorHAnsi" w:cstheme="minorHAnsi"/>
          <w:b/>
          <w:bCs/>
          <w:spacing w:val="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b/>
          <w:bCs/>
          <w:w w:val="90"/>
          <w:sz w:val="22"/>
          <w:szCs w:val="22"/>
        </w:rPr>
        <w:t>KURULU</w:t>
      </w:r>
      <w:r w:rsidRPr="00297F18">
        <w:rPr>
          <w:rFonts w:asciiTheme="minorHAnsi" w:hAnsiTheme="minorHAnsi" w:cstheme="minorHAnsi"/>
          <w:b/>
          <w:bCs/>
          <w:spacing w:val="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b/>
          <w:bCs/>
          <w:spacing w:val="-2"/>
          <w:w w:val="90"/>
          <w:sz w:val="22"/>
          <w:szCs w:val="22"/>
        </w:rPr>
        <w:t>İNCELEMESİ</w:t>
      </w:r>
    </w:p>
    <w:p w:rsidR="00297F18" w:rsidRPr="00297F18" w:rsidRDefault="00297F18" w:rsidP="00297F18">
      <w:pPr>
        <w:pStyle w:val="GvdeMetni"/>
        <w:kinsoku w:val="0"/>
        <w:overflowPunct w:val="0"/>
        <w:spacing w:before="202" w:line="230" w:lineRule="auto"/>
        <w:ind w:left="181" w:right="115"/>
        <w:jc w:val="both"/>
        <w:rPr>
          <w:rFonts w:asciiTheme="minorHAnsi" w:hAnsiTheme="minorHAnsi" w:cstheme="minorHAnsi"/>
          <w:spacing w:val="-2"/>
        </w:rPr>
      </w:pPr>
      <w:r w:rsidRPr="00297F18">
        <w:rPr>
          <w:rFonts w:asciiTheme="minorHAnsi" w:hAnsiTheme="minorHAnsi" w:cstheme="minorHAnsi"/>
          <w:spacing w:val="-2"/>
        </w:rPr>
        <w:t>16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Şubat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2016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tarihinde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Mallorca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Mietboerse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S.L.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aleyhine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verilmiş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olan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karara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karşı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itiraz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 xml:space="preserve">etmiştir. </w:t>
      </w:r>
      <w:r w:rsidRPr="00297F18">
        <w:rPr>
          <w:rFonts w:asciiTheme="minorHAnsi" w:hAnsiTheme="minorHAnsi" w:cstheme="minorHAnsi"/>
          <w:spacing w:val="-6"/>
        </w:rPr>
        <w:t xml:space="preserve">Bu aşamada İptal Birimine sunulan deliller tekrar sunulmuş ve markanın tanımlayıcı olduğuna, ayırt </w:t>
      </w:r>
      <w:r w:rsidRPr="00297F18">
        <w:rPr>
          <w:rFonts w:asciiTheme="minorHAnsi" w:hAnsiTheme="minorHAnsi" w:cstheme="minorHAnsi"/>
          <w:spacing w:val="-2"/>
        </w:rPr>
        <w:t>edici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olmadığına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ilişkin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iddialar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ile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kötü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niyet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iddiası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yinelenmiştir.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Sunulan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tüm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bilgi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ve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belgeler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>
        <w:rPr>
          <w:rFonts w:asciiTheme="minorHAnsi" w:hAnsiTheme="minorHAnsi" w:cstheme="minorHAnsi"/>
          <w:spacing w:val="-2"/>
        </w:rPr>
        <w:t>ışı</w:t>
      </w:r>
      <w:r w:rsidRPr="00297F18">
        <w:rPr>
          <w:rFonts w:asciiTheme="minorHAnsi" w:hAnsiTheme="minorHAnsi" w:cstheme="minorHAnsi"/>
          <w:spacing w:val="-2"/>
        </w:rPr>
        <w:t>ğında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Temyiz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Kurulu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inceleme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aşamasına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geçmiştir.</w:t>
      </w:r>
    </w:p>
    <w:p w:rsidR="00297F18" w:rsidRPr="00297F18" w:rsidRDefault="00297F18" w:rsidP="00297F18">
      <w:pPr>
        <w:pStyle w:val="GvdeMetni"/>
        <w:kinsoku w:val="0"/>
        <w:overflowPunct w:val="0"/>
        <w:spacing w:before="204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  <w:r w:rsidRPr="00297F18">
        <w:rPr>
          <w:rFonts w:asciiTheme="minorHAnsi" w:hAnsiTheme="minorHAnsi" w:cstheme="minorHAnsi"/>
          <w:spacing w:val="-2"/>
        </w:rPr>
        <w:t>İtirazın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havale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edildiği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EUIPO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1.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Temyiz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Kurulu,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münhasıran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coğrafi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yer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adlarından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oluşan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veya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 xml:space="preserve">bir </w:t>
      </w:r>
      <w:r w:rsidRPr="00297F18">
        <w:rPr>
          <w:rFonts w:asciiTheme="minorHAnsi" w:hAnsiTheme="minorHAnsi" w:cstheme="minorHAnsi"/>
          <w:spacing w:val="-6"/>
        </w:rPr>
        <w:t>coğrafi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yer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adını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ayırt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edici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unsur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olarak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içeren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markaların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tanımlayıcılığı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hakkında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önceden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 xml:space="preserve">verilmiş </w:t>
      </w:r>
      <w:r w:rsidRPr="00297F18">
        <w:rPr>
          <w:rFonts w:asciiTheme="minorHAnsi" w:hAnsiTheme="minorHAnsi" w:cstheme="minorHAnsi"/>
        </w:rPr>
        <w:t>birbirleriyle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çelişen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kararların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varlığını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ve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bu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konuda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bir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uygulama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birliğinin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>bulunmadığını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</w:rPr>
        <w:t xml:space="preserve">tespit </w:t>
      </w:r>
      <w:r w:rsidRPr="00297F18">
        <w:rPr>
          <w:rFonts w:asciiTheme="minorHAnsi" w:hAnsiTheme="minorHAnsi" w:cstheme="minorHAnsi"/>
          <w:spacing w:val="-4"/>
        </w:rPr>
        <w:t>ettiğinden,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itiraz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hakkında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bir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karar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vermeden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itilafı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EUIPO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Temyiz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Kurulu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Büyük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Kuruluna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iletmiştir.</w:t>
      </w:r>
    </w:p>
    <w:p w:rsidR="00297F18" w:rsidRDefault="00297F18" w:rsidP="00297F18">
      <w:pPr>
        <w:pStyle w:val="GvdeMetni"/>
        <w:kinsoku w:val="0"/>
        <w:overflowPunct w:val="0"/>
        <w:spacing w:before="204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</w:p>
    <w:p w:rsidR="00297F18" w:rsidRPr="00297F18" w:rsidRDefault="00297F18" w:rsidP="00297F18">
      <w:pPr>
        <w:pStyle w:val="GvdeMetni"/>
        <w:kinsoku w:val="0"/>
        <w:overflowPunct w:val="0"/>
        <w:spacing w:line="230" w:lineRule="auto"/>
        <w:ind w:left="181" w:right="115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  <w:spacing w:val="-2"/>
        </w:rPr>
        <w:t>Bu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noktada,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Grand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Board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olarak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da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anılan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EUIPO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Temyiz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Kurulu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Büyük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Kurulunun,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dokuz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 xml:space="preserve">üyeden </w:t>
      </w:r>
      <w:r w:rsidRPr="00297F18">
        <w:rPr>
          <w:rFonts w:asciiTheme="minorHAnsi" w:hAnsiTheme="minorHAnsi" w:cstheme="minorHAnsi"/>
          <w:spacing w:val="-6"/>
        </w:rPr>
        <w:t>oluşan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ve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Temyiz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Kurullarının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çözümlemekte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güçlük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çektiği,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önemli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bulduğu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veya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çelişki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tespit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 xml:space="preserve">ettiği </w:t>
      </w:r>
      <w:r w:rsidRPr="00297F18">
        <w:rPr>
          <w:rFonts w:asciiTheme="minorHAnsi" w:hAnsiTheme="minorHAnsi" w:cstheme="minorHAnsi"/>
        </w:rPr>
        <w:t>meseleleri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taşıdığı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bir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nevi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üst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kurul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olduğu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belirtilmelidir.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Belirtilen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Kurul,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bu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yazının</w:t>
      </w:r>
      <w:r w:rsidRPr="00297F18">
        <w:rPr>
          <w:rFonts w:asciiTheme="minorHAnsi" w:hAnsiTheme="minorHAnsi" w:cstheme="minorHAnsi"/>
          <w:spacing w:val="-1"/>
        </w:rPr>
        <w:t xml:space="preserve"> </w:t>
      </w:r>
      <w:r w:rsidRPr="00297F18">
        <w:rPr>
          <w:rFonts w:asciiTheme="minorHAnsi" w:hAnsiTheme="minorHAnsi" w:cstheme="minorHAnsi"/>
        </w:rPr>
        <w:t>devamında kısaca</w:t>
      </w:r>
      <w:r w:rsidRPr="00297F18">
        <w:rPr>
          <w:rFonts w:asciiTheme="minorHAnsi" w:hAnsiTheme="minorHAnsi" w:cstheme="minorHAnsi"/>
          <w:spacing w:val="-4"/>
        </w:rPr>
        <w:t xml:space="preserve"> </w:t>
      </w:r>
      <w:r w:rsidRPr="00297F18">
        <w:rPr>
          <w:rFonts w:asciiTheme="minorHAnsi" w:hAnsiTheme="minorHAnsi" w:cstheme="minorHAnsi"/>
        </w:rPr>
        <w:t>“Büyük</w:t>
      </w:r>
      <w:r w:rsidRPr="00297F18">
        <w:rPr>
          <w:rFonts w:asciiTheme="minorHAnsi" w:hAnsiTheme="minorHAnsi" w:cstheme="minorHAnsi"/>
          <w:spacing w:val="-4"/>
        </w:rPr>
        <w:t xml:space="preserve"> </w:t>
      </w:r>
      <w:r w:rsidRPr="00297F18">
        <w:rPr>
          <w:rFonts w:asciiTheme="minorHAnsi" w:hAnsiTheme="minorHAnsi" w:cstheme="minorHAnsi"/>
        </w:rPr>
        <w:t>Kurul”</w:t>
      </w:r>
      <w:r w:rsidRPr="00297F18">
        <w:rPr>
          <w:rFonts w:asciiTheme="minorHAnsi" w:hAnsiTheme="minorHAnsi" w:cstheme="minorHAnsi"/>
          <w:spacing w:val="-4"/>
        </w:rPr>
        <w:t xml:space="preserve"> </w:t>
      </w:r>
      <w:r w:rsidRPr="00297F18">
        <w:rPr>
          <w:rFonts w:asciiTheme="minorHAnsi" w:hAnsiTheme="minorHAnsi" w:cstheme="minorHAnsi"/>
        </w:rPr>
        <w:t>olarak</w:t>
      </w:r>
      <w:r w:rsidRPr="00297F18">
        <w:rPr>
          <w:rFonts w:asciiTheme="minorHAnsi" w:hAnsiTheme="minorHAnsi" w:cstheme="minorHAnsi"/>
          <w:spacing w:val="-4"/>
        </w:rPr>
        <w:t xml:space="preserve"> </w:t>
      </w:r>
      <w:r w:rsidRPr="00297F18">
        <w:rPr>
          <w:rFonts w:asciiTheme="minorHAnsi" w:hAnsiTheme="minorHAnsi" w:cstheme="minorHAnsi"/>
        </w:rPr>
        <w:t>anılacaktır.</w:t>
      </w:r>
    </w:p>
    <w:p w:rsidR="00297F18" w:rsidRPr="00297F18" w:rsidRDefault="00297F18" w:rsidP="00297F18">
      <w:pPr>
        <w:pStyle w:val="GvdeMetni"/>
        <w:kinsoku w:val="0"/>
        <w:overflowPunct w:val="0"/>
        <w:spacing w:before="204" w:line="230" w:lineRule="auto"/>
        <w:ind w:left="181" w:right="115"/>
        <w:jc w:val="both"/>
        <w:rPr>
          <w:rFonts w:asciiTheme="minorHAnsi" w:hAnsiTheme="minorHAnsi" w:cstheme="minorHAnsi"/>
          <w:spacing w:val="-4"/>
        </w:rPr>
        <w:sectPr w:rsidR="00297F18" w:rsidRPr="00297F18" w:rsidSect="007C7AE5">
          <w:pgSz w:w="12240" w:h="15840"/>
          <w:pgMar w:top="1040" w:right="960" w:bottom="1160" w:left="1120" w:header="737" w:footer="977" w:gutter="0"/>
          <w:cols w:space="708"/>
          <w:noEndnote/>
        </w:sectPr>
      </w:pPr>
    </w:p>
    <w:p w:rsidR="00297F18" w:rsidRPr="00297F18" w:rsidRDefault="00297F18" w:rsidP="00297F18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297F18" w:rsidRPr="00297F18" w:rsidRDefault="00297F18" w:rsidP="00297F1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</w:rPr>
      </w:pPr>
    </w:p>
    <w:p w:rsidR="00297F18" w:rsidRPr="00297F18" w:rsidRDefault="00297F18" w:rsidP="00297F18">
      <w:pPr>
        <w:pStyle w:val="GvdeMetni"/>
        <w:kinsoku w:val="0"/>
        <w:overflowPunct w:val="0"/>
        <w:spacing w:before="204" w:line="230" w:lineRule="auto"/>
        <w:ind w:left="181" w:right="115" w:hanging="1"/>
        <w:jc w:val="both"/>
        <w:rPr>
          <w:rFonts w:asciiTheme="minorHAnsi" w:hAnsiTheme="minorHAnsi" w:cstheme="minorHAnsi"/>
          <w:spacing w:val="-2"/>
        </w:rPr>
      </w:pPr>
      <w:r w:rsidRPr="00297F18">
        <w:rPr>
          <w:rFonts w:asciiTheme="minorHAnsi" w:hAnsiTheme="minorHAnsi" w:cstheme="minorHAnsi"/>
          <w:spacing w:val="-6"/>
        </w:rPr>
        <w:t>Büyük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Kurul’un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itiraz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hakkında,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10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Haziran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2021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tarihinde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verdiği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karar</w:t>
      </w:r>
      <w:r w:rsidRPr="00297F18">
        <w:rPr>
          <w:rFonts w:asciiTheme="minorHAnsi" w:hAnsiTheme="minorHAnsi" w:cstheme="minorHAnsi"/>
          <w:spacing w:val="-6"/>
          <w:position w:val="7"/>
          <w:sz w:val="13"/>
          <w:szCs w:val="13"/>
        </w:rPr>
        <w:t>2</w:t>
      </w:r>
      <w:r w:rsidRPr="00297F18">
        <w:rPr>
          <w:rFonts w:asciiTheme="minorHAnsi" w:hAnsiTheme="minorHAnsi" w:cstheme="minorHAnsi"/>
          <w:spacing w:val="-6"/>
        </w:rPr>
        <w:t>,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aşağıda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ana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hatlarıyla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  <w:spacing w:val="-6"/>
        </w:rPr>
        <w:t>özet</w:t>
      </w:r>
      <w:r w:rsidRPr="00297F18">
        <w:rPr>
          <w:rFonts w:asciiTheme="minorHAnsi" w:hAnsiTheme="minorHAnsi" w:cstheme="minorHAnsi"/>
          <w:spacing w:val="-2"/>
        </w:rPr>
        <w:t>lenecektir:</w:t>
      </w:r>
    </w:p>
    <w:p w:rsidR="00297F18" w:rsidRPr="00297F18" w:rsidRDefault="00297F18" w:rsidP="00297F18">
      <w:pPr>
        <w:pStyle w:val="GvdeMetni"/>
        <w:kinsoku w:val="0"/>
        <w:overflowPunct w:val="0"/>
        <w:spacing w:before="202" w:line="230" w:lineRule="auto"/>
        <w:ind w:left="181" w:right="116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  <w:spacing w:val="-4"/>
        </w:rPr>
        <w:t>İptal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Birimi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tarafından,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“INMOBILIARIA”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ibaresinin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ayırt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edici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olmadığı,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birçok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farklı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dilde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benzer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 xml:space="preserve">şe- kilde kullanımların söz konusu olduğu ve her birinin “gayrimenkul hizmetleri (emlakçılık) ofisi” anla- </w:t>
      </w:r>
      <w:r w:rsidRPr="00297F18">
        <w:rPr>
          <w:rFonts w:asciiTheme="minorHAnsi" w:hAnsiTheme="minorHAnsi" w:cstheme="minorHAnsi"/>
          <w:w w:val="90"/>
        </w:rPr>
        <w:t xml:space="preserve">mı taşıdıkları, bu sebeple tanımlayıcı olup, ayırt edici olmadığı yönünde yapılmış olan değerlendirme </w:t>
      </w:r>
      <w:r w:rsidRPr="00297F18">
        <w:rPr>
          <w:rFonts w:asciiTheme="minorHAnsi" w:hAnsiTheme="minorHAnsi" w:cstheme="minorHAnsi"/>
        </w:rPr>
        <w:t>Büyük</w:t>
      </w:r>
      <w:r w:rsidRPr="00297F18">
        <w:rPr>
          <w:rFonts w:asciiTheme="minorHAnsi" w:hAnsiTheme="minorHAnsi" w:cstheme="minorHAnsi"/>
          <w:spacing w:val="-2"/>
        </w:rPr>
        <w:t xml:space="preserve"> </w:t>
      </w:r>
      <w:r w:rsidRPr="00297F18">
        <w:rPr>
          <w:rFonts w:asciiTheme="minorHAnsi" w:hAnsiTheme="minorHAnsi" w:cstheme="minorHAnsi"/>
        </w:rPr>
        <w:t>Kurulca</w:t>
      </w:r>
      <w:r w:rsidRPr="00297F18">
        <w:rPr>
          <w:rFonts w:asciiTheme="minorHAnsi" w:hAnsiTheme="minorHAnsi" w:cstheme="minorHAnsi"/>
          <w:spacing w:val="-2"/>
        </w:rPr>
        <w:t xml:space="preserve"> </w:t>
      </w:r>
      <w:r w:rsidRPr="00297F18">
        <w:rPr>
          <w:rFonts w:asciiTheme="minorHAnsi" w:hAnsiTheme="minorHAnsi" w:cstheme="minorHAnsi"/>
        </w:rPr>
        <w:t>da</w:t>
      </w:r>
      <w:r w:rsidRPr="00297F18">
        <w:rPr>
          <w:rFonts w:asciiTheme="minorHAnsi" w:hAnsiTheme="minorHAnsi" w:cstheme="minorHAnsi"/>
          <w:spacing w:val="-2"/>
        </w:rPr>
        <w:t xml:space="preserve"> </w:t>
      </w:r>
      <w:r w:rsidRPr="00297F18">
        <w:rPr>
          <w:rFonts w:asciiTheme="minorHAnsi" w:hAnsiTheme="minorHAnsi" w:cstheme="minorHAnsi"/>
        </w:rPr>
        <w:t>onaylanmıştır.</w:t>
      </w:r>
    </w:p>
    <w:p w:rsidR="00297F18" w:rsidRPr="00297F18" w:rsidRDefault="00297F18" w:rsidP="00297F18">
      <w:pPr>
        <w:pStyle w:val="GvdeMetni"/>
        <w:kinsoku w:val="0"/>
        <w:overflowPunct w:val="0"/>
        <w:spacing w:before="205" w:line="230" w:lineRule="auto"/>
        <w:ind w:left="181" w:right="114"/>
        <w:jc w:val="both"/>
        <w:rPr>
          <w:rFonts w:asciiTheme="minorHAnsi" w:hAnsiTheme="minorHAnsi" w:cstheme="minorHAnsi"/>
          <w:spacing w:val="-2"/>
        </w:rPr>
      </w:pPr>
      <w:r w:rsidRPr="00297F18">
        <w:rPr>
          <w:rFonts w:asciiTheme="minorHAnsi" w:hAnsiTheme="minorHAnsi" w:cstheme="minorHAnsi"/>
          <w:spacing w:val="-6"/>
        </w:rPr>
        <w:t>“POTRIXOL”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ibaresi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ile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ilgili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olarak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yapacağı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incelemede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ise;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bir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ibarenin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ayırt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edici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olup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 xml:space="preserve">olmadığının </w:t>
      </w:r>
      <w:r w:rsidRPr="00297F18">
        <w:rPr>
          <w:rFonts w:asciiTheme="minorHAnsi" w:hAnsiTheme="minorHAnsi" w:cstheme="minorHAnsi"/>
          <w:spacing w:val="-4"/>
        </w:rPr>
        <w:t>değerlendirilmesinde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dikkat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edilmesi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gereken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kriterler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olduğunu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vurgulayan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Büyük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Kurul,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 xml:space="preserve">Mallorca </w:t>
      </w:r>
      <w:r w:rsidRPr="00297F18">
        <w:rPr>
          <w:rFonts w:asciiTheme="minorHAnsi" w:hAnsiTheme="minorHAnsi" w:cstheme="minorHAnsi"/>
          <w:spacing w:val="-2"/>
        </w:rPr>
        <w:t>Mietboerse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S.L.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tarafından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“PORTIXOL”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ibaresi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bakımından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tüketici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kitlesinin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‘Portixol’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bölgesinde bir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mülk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satın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almak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veya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kiralamak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isteyen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ortalama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tüketici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olduğuna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dikkat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çekilmiş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 xml:space="preserve">olmasına </w:t>
      </w:r>
      <w:r w:rsidRPr="00297F18">
        <w:rPr>
          <w:rFonts w:asciiTheme="minorHAnsi" w:hAnsiTheme="minorHAnsi" w:cstheme="minorHAnsi"/>
          <w:spacing w:val="-4"/>
        </w:rPr>
        <w:t>rağmen;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hükümsüzlüğü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talep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edilen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markanın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bir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Avrupa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Birliği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Markası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olması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nedeniyle,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 xml:space="preserve">Avrupa </w:t>
      </w:r>
      <w:r w:rsidRPr="00297F18">
        <w:rPr>
          <w:rFonts w:asciiTheme="minorHAnsi" w:hAnsiTheme="minorHAnsi" w:cstheme="minorHAnsi"/>
        </w:rPr>
        <w:t>Bölgesindeki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ilgili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tüm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tüketicilerin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ortalama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tüketici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kabul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edilmesi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gerektiğini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belirtmiştir.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Bu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>
        <w:rPr>
          <w:rFonts w:asciiTheme="minorHAnsi" w:hAnsiTheme="minorHAnsi" w:cstheme="minorHAnsi"/>
        </w:rPr>
        <w:t>ne</w:t>
      </w:r>
      <w:r w:rsidRPr="00297F18">
        <w:rPr>
          <w:rFonts w:asciiTheme="minorHAnsi" w:hAnsiTheme="minorHAnsi" w:cstheme="minorHAnsi"/>
          <w:w w:val="90"/>
        </w:rPr>
        <w:t xml:space="preserve">denle, hükümsüzlük talebinde bulunanın iddialarının aksine, mevcut değerlendirmenin, Avrupa Birliği </w:t>
      </w:r>
      <w:r w:rsidRPr="00297F18">
        <w:rPr>
          <w:rFonts w:asciiTheme="minorHAnsi" w:hAnsiTheme="minorHAnsi" w:cstheme="minorHAnsi"/>
          <w:spacing w:val="-2"/>
        </w:rPr>
        <w:t>kapsamındaki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ilgili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tüketici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kitlesinin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yalnızca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küçük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bir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bölümünü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oluşturan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“Portixol”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bölgesinde yer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alan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mülklerle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ilgilenen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tüketicilerle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sınırlı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tutulamayacağını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kabul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etmiştir.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Ayrıca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 xml:space="preserve">gayrimenkul </w:t>
      </w:r>
      <w:r w:rsidRPr="00297F18">
        <w:rPr>
          <w:rFonts w:asciiTheme="minorHAnsi" w:hAnsiTheme="minorHAnsi" w:cstheme="minorHAnsi"/>
          <w:spacing w:val="-8"/>
        </w:rPr>
        <w:t>sektöründen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hizmet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alacak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olan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tüketicilerin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tamamının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oldukça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yüksek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düzeyde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dikkatli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bir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 xml:space="preserve">tüketici </w:t>
      </w:r>
      <w:r w:rsidRPr="00297F18">
        <w:rPr>
          <w:rFonts w:asciiTheme="minorHAnsi" w:hAnsiTheme="minorHAnsi" w:cstheme="minorHAnsi"/>
          <w:spacing w:val="-2"/>
        </w:rPr>
        <w:t>kitlesi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olduğunun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kabul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edilmiş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bir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gerçek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olduğu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da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vurgulamıştır.</w:t>
      </w:r>
    </w:p>
    <w:p w:rsidR="00297F18" w:rsidRPr="00297F18" w:rsidRDefault="00297F18" w:rsidP="00297F18">
      <w:pPr>
        <w:pStyle w:val="GvdeMetni"/>
        <w:kinsoku w:val="0"/>
        <w:overflowPunct w:val="0"/>
        <w:spacing w:before="203"/>
        <w:ind w:left="181"/>
        <w:jc w:val="both"/>
        <w:rPr>
          <w:rFonts w:asciiTheme="minorHAnsi" w:hAnsiTheme="minorHAnsi" w:cstheme="minorHAnsi"/>
          <w:spacing w:val="-2"/>
        </w:rPr>
      </w:pPr>
      <w:r w:rsidRPr="00297F18">
        <w:rPr>
          <w:rFonts w:asciiTheme="minorHAnsi" w:hAnsiTheme="minorHAnsi" w:cstheme="minorHAnsi"/>
        </w:rPr>
        <w:t>Coğrafi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yer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adlarının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tescil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edilebilirliği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</w:rPr>
        <w:t>ile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ilgili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olarak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da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</w:rPr>
        <w:t>iki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kriterin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</w:rPr>
        <w:t>altı</w:t>
      </w:r>
      <w:r w:rsidRPr="00297F18">
        <w:rPr>
          <w:rFonts w:asciiTheme="minorHAnsi" w:hAnsiTheme="minorHAnsi" w:cstheme="minorHAnsi"/>
          <w:spacing w:val="-15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çizilmiştir:</w:t>
      </w:r>
    </w:p>
    <w:p w:rsidR="00297F18" w:rsidRPr="00297F18" w:rsidRDefault="00297F18" w:rsidP="00297F18">
      <w:pPr>
        <w:pStyle w:val="ListeParagraf"/>
        <w:numPr>
          <w:ilvl w:val="1"/>
          <w:numId w:val="4"/>
        </w:numPr>
        <w:tabs>
          <w:tab w:val="left" w:pos="901"/>
        </w:tabs>
        <w:kinsoku w:val="0"/>
        <w:overflowPunct w:val="0"/>
        <w:spacing w:before="199" w:line="230" w:lineRule="auto"/>
        <w:jc w:val="both"/>
        <w:rPr>
          <w:rFonts w:asciiTheme="minorHAnsi" w:hAnsiTheme="minorHAnsi" w:cstheme="minorHAnsi"/>
          <w:spacing w:val="-4"/>
          <w:sz w:val="22"/>
          <w:szCs w:val="22"/>
        </w:rPr>
      </w:pPr>
      <w:r w:rsidRPr="00297F18">
        <w:rPr>
          <w:rFonts w:asciiTheme="minorHAnsi" w:hAnsiTheme="minorHAnsi" w:cstheme="minorHAnsi"/>
          <w:spacing w:val="-2"/>
          <w:sz w:val="22"/>
          <w:szCs w:val="22"/>
        </w:rPr>
        <w:t>İlk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olarak,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coğrafi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yer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adlarının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tescili,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ilgili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mal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veya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hizmet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kategorisi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için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halihazırda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ünlü veya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bilinir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olan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ve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bu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nedenle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ilgili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tüketicilerin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zihninde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o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kategoriyle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>ilişkilendirilmiş</w:t>
      </w:r>
      <w:r w:rsidRPr="00297F18">
        <w:rPr>
          <w:rFonts w:asciiTheme="minorHAnsi" w:hAnsiTheme="minorHAnsi" w:cstheme="minorHAnsi"/>
          <w:spacing w:val="-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2"/>
          <w:sz w:val="22"/>
          <w:szCs w:val="22"/>
        </w:rPr>
        <w:t xml:space="preserve">olan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coğrafi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yer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adları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bakımından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mümkün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değildir.</w:t>
      </w:r>
    </w:p>
    <w:p w:rsidR="00297F18" w:rsidRPr="00297F18" w:rsidRDefault="00297F18" w:rsidP="00297F18">
      <w:pPr>
        <w:pStyle w:val="ListeParagraf"/>
        <w:numPr>
          <w:ilvl w:val="1"/>
          <w:numId w:val="4"/>
        </w:numPr>
        <w:tabs>
          <w:tab w:val="left" w:pos="901"/>
        </w:tabs>
        <w:kinsoku w:val="0"/>
        <w:overflowPunct w:val="0"/>
        <w:spacing w:before="203" w:line="23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297F18">
        <w:rPr>
          <w:rFonts w:asciiTheme="minorHAnsi" w:hAnsiTheme="minorHAnsi" w:cstheme="minorHAnsi"/>
          <w:spacing w:val="-4"/>
          <w:sz w:val="22"/>
          <w:szCs w:val="22"/>
        </w:rPr>
        <w:t>İkinci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olarak,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ilgili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mal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veya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hizmet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kategorisinin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coğrafi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menşeinin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göstergesi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olarak</w:t>
      </w:r>
      <w:r w:rsidRPr="00297F18">
        <w:rPr>
          <w:rFonts w:asciiTheme="minorHAnsi" w:hAnsiTheme="minorHAnsi" w:cstheme="minorHAnsi"/>
          <w:spacing w:val="-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herkes tarafından</w:t>
      </w:r>
      <w:r w:rsidRPr="00297F1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kullanılması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olası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olan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ve</w:t>
      </w:r>
      <w:r w:rsidRPr="00297F1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bu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nedenle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herkesin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kullanımına</w:t>
      </w:r>
      <w:r w:rsidRPr="00297F18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açık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>kalması</w:t>
      </w:r>
      <w:r w:rsidRPr="00297F18">
        <w:rPr>
          <w:rFonts w:asciiTheme="minorHAnsi" w:hAnsiTheme="minorHAnsi" w:cstheme="minorHAnsi"/>
          <w:spacing w:val="-11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pacing w:val="-4"/>
          <w:sz w:val="22"/>
          <w:szCs w:val="22"/>
        </w:rPr>
        <w:t xml:space="preserve">gereken </w:t>
      </w:r>
      <w:r w:rsidRPr="00297F18">
        <w:rPr>
          <w:rFonts w:asciiTheme="minorHAnsi" w:hAnsiTheme="minorHAnsi" w:cstheme="minorHAnsi"/>
          <w:sz w:val="22"/>
          <w:szCs w:val="22"/>
        </w:rPr>
        <w:t>coğrafi</w:t>
      </w:r>
      <w:r w:rsidRPr="00297F18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yer</w:t>
      </w:r>
      <w:r w:rsidRPr="00297F18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adlarının</w:t>
      </w:r>
      <w:r w:rsidRPr="00297F18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tescili</w:t>
      </w:r>
      <w:r w:rsidRPr="00297F18">
        <w:rPr>
          <w:rFonts w:asciiTheme="minorHAnsi" w:hAnsiTheme="minorHAnsi" w:cstheme="minorHAnsi"/>
          <w:spacing w:val="-15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mümkün</w:t>
      </w:r>
      <w:r w:rsidRPr="00297F18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297F18">
        <w:rPr>
          <w:rFonts w:asciiTheme="minorHAnsi" w:hAnsiTheme="minorHAnsi" w:cstheme="minorHAnsi"/>
          <w:sz w:val="22"/>
          <w:szCs w:val="22"/>
        </w:rPr>
        <w:t>değildir.</w:t>
      </w:r>
    </w:p>
    <w:p w:rsidR="00297F18" w:rsidRPr="00297F18" w:rsidRDefault="00297F18" w:rsidP="00297F18">
      <w:pPr>
        <w:pStyle w:val="GvdeMetni"/>
        <w:kinsoku w:val="0"/>
        <w:overflowPunct w:val="0"/>
        <w:spacing w:before="204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  <w:r w:rsidRPr="00297F18">
        <w:rPr>
          <w:rFonts w:asciiTheme="minorHAnsi" w:hAnsiTheme="minorHAnsi" w:cstheme="minorHAnsi"/>
          <w:spacing w:val="-6"/>
        </w:rPr>
        <w:t>Fakat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bu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kriterler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kapsamına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girmeyen,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ilgili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tüketici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kesimi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tarafından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malların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veya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hizmetlerin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>
        <w:rPr>
          <w:rFonts w:asciiTheme="minorHAnsi" w:hAnsiTheme="minorHAnsi" w:cstheme="minorHAnsi"/>
          <w:spacing w:val="-6"/>
        </w:rPr>
        <w:t>coğ</w:t>
      </w:r>
      <w:r w:rsidRPr="00297F18">
        <w:rPr>
          <w:rFonts w:asciiTheme="minorHAnsi" w:hAnsiTheme="minorHAnsi" w:cstheme="minorHAnsi"/>
          <w:w w:val="90"/>
        </w:rPr>
        <w:t xml:space="preserve">rafi kaynağı olarak bilinmeyen ya da ilgili tüketici kesimince hiç bilinmeyen coğrafi yer adlarının tescil </w:t>
      </w:r>
      <w:r w:rsidRPr="00297F18">
        <w:rPr>
          <w:rFonts w:asciiTheme="minorHAnsi" w:hAnsiTheme="minorHAnsi" w:cstheme="minorHAnsi"/>
          <w:spacing w:val="-4"/>
        </w:rPr>
        <w:t>edilmesinde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bir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engel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bulunmamaktadır.</w:t>
      </w:r>
    </w:p>
    <w:p w:rsidR="00297F18" w:rsidRPr="00297F18" w:rsidRDefault="00297F18" w:rsidP="00297F18">
      <w:pPr>
        <w:pStyle w:val="GvdeMetni"/>
        <w:kinsoku w:val="0"/>
        <w:overflowPunct w:val="0"/>
        <w:spacing w:before="203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  <w:r w:rsidRPr="00297F18">
        <w:rPr>
          <w:rFonts w:asciiTheme="minorHAnsi" w:hAnsiTheme="minorHAnsi" w:cstheme="minorHAnsi"/>
          <w:spacing w:val="-4"/>
        </w:rPr>
        <w:t>Dolayısıyla, hükümsüzlüğü talep edilen “INMOBILIARIA PORTIXOL” markasının tanımlayıcılığına ve ayırt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ediciliğine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ilişkin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değerlendirmede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bu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ana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ilkeler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çerçevesinde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yapılmalıdır.</w:t>
      </w:r>
    </w:p>
    <w:p w:rsidR="00297F18" w:rsidRPr="00297F18" w:rsidRDefault="00297F18" w:rsidP="00297F18">
      <w:pPr>
        <w:pStyle w:val="GvdeMetni"/>
        <w:kinsoku w:val="0"/>
        <w:overflowPunct w:val="0"/>
        <w:spacing w:line="230" w:lineRule="auto"/>
        <w:ind w:left="181" w:right="115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</w:rPr>
        <w:t>Hükümsüzlük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talebi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sahibi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“PORTIXOL”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isimli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bölgenin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bilinir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bir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turistik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lokasyonun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adı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 xml:space="preserve">olduğunu </w:t>
      </w:r>
      <w:r w:rsidRPr="00297F18">
        <w:rPr>
          <w:rFonts w:asciiTheme="minorHAnsi" w:hAnsiTheme="minorHAnsi" w:cstheme="minorHAnsi"/>
          <w:spacing w:val="-6"/>
        </w:rPr>
        <w:t xml:space="preserve">iddia etse de Büyük Kurul, tıpkı İptal Birimi, bu görüşü paylaşmamaktadır. Büyük Kurul’a da göre de </w:t>
      </w:r>
      <w:r w:rsidRPr="00297F18">
        <w:rPr>
          <w:rFonts w:asciiTheme="minorHAnsi" w:hAnsiTheme="minorHAnsi" w:cstheme="minorHAnsi"/>
          <w:spacing w:val="-8"/>
        </w:rPr>
        <w:t>incelemede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görüşü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esas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alınması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gereken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kesim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Avrupa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Birliğindeki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genel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kamudur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ve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bu</w:t>
      </w:r>
      <w:r w:rsidRPr="00297F18">
        <w:rPr>
          <w:rFonts w:asciiTheme="minorHAnsi" w:hAnsiTheme="minorHAnsi" w:cstheme="minorHAnsi"/>
          <w:spacing w:val="-6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 xml:space="preserve">kamunun </w:t>
      </w:r>
      <w:r w:rsidRPr="00297F18">
        <w:rPr>
          <w:rFonts w:asciiTheme="minorHAnsi" w:hAnsiTheme="minorHAnsi" w:cstheme="minorHAnsi"/>
          <w:spacing w:val="-6"/>
        </w:rPr>
        <w:t>bu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kesimi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Palma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de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Mallorca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şehrinin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bir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bölgesi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(köyü)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olan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“PORTIXOL”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ibaresini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bilinen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bir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 xml:space="preserve">coğrafi </w:t>
      </w:r>
      <w:r w:rsidRPr="00297F18">
        <w:rPr>
          <w:rFonts w:asciiTheme="minorHAnsi" w:hAnsiTheme="minorHAnsi" w:cstheme="minorHAnsi"/>
          <w:spacing w:val="-8"/>
        </w:rPr>
        <w:t>yer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adı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olarak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tanımamaktadır.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Palma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de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Mallorca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şehrinin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genel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tüketici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kesimi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>tarafından</w:t>
      </w:r>
      <w:r w:rsidRPr="00297F18">
        <w:rPr>
          <w:rFonts w:asciiTheme="minorHAnsi" w:hAnsiTheme="minorHAnsi" w:cstheme="minorHAnsi"/>
        </w:rPr>
        <w:t xml:space="preserve"> </w:t>
      </w:r>
      <w:r w:rsidRPr="00297F18">
        <w:rPr>
          <w:rFonts w:asciiTheme="minorHAnsi" w:hAnsiTheme="minorHAnsi" w:cstheme="minorHAnsi"/>
          <w:spacing w:val="-8"/>
        </w:rPr>
        <w:t xml:space="preserve">bilinme- </w:t>
      </w:r>
      <w:r w:rsidRPr="00297F18">
        <w:rPr>
          <w:rFonts w:asciiTheme="minorHAnsi" w:hAnsiTheme="minorHAnsi" w:cstheme="minorHAnsi"/>
          <w:spacing w:val="-2"/>
        </w:rPr>
        <w:t>si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veya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yerel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halkın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“PORTIXOL”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ibaresini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bir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coğrafi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yer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adı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olarak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bilmesi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faktörleri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de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bu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9"/>
        </w:rPr>
        <w:t>yöndeki</w:t>
      </w:r>
      <w:r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tespiti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değiştirmeyecektir,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çünkü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“PORTIXOL”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ibaresinin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tek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başına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coğrafi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bir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yer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adı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olarak</w:t>
      </w:r>
      <w:r w:rsidRPr="00297F18">
        <w:rPr>
          <w:rFonts w:asciiTheme="minorHAnsi" w:hAnsiTheme="minorHAnsi" w:cstheme="minorHAnsi"/>
          <w:spacing w:val="-7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 xml:space="preserve">Avrupa </w:t>
      </w:r>
      <w:r w:rsidRPr="00297F18">
        <w:rPr>
          <w:rFonts w:asciiTheme="minorHAnsi" w:hAnsiTheme="minorHAnsi" w:cstheme="minorHAnsi"/>
        </w:rPr>
        <w:t>Birliğinin genel tüketicilerince bilindiğini ispatlar kanıtlar sunulmamıştır.</w:t>
      </w:r>
    </w:p>
    <w:p w:rsidR="00297F18" w:rsidRPr="00297F18" w:rsidRDefault="00297F18" w:rsidP="00297F18">
      <w:pPr>
        <w:pStyle w:val="GvdeMetni"/>
        <w:kinsoku w:val="0"/>
        <w:overflowPunct w:val="0"/>
        <w:spacing w:before="202" w:line="230" w:lineRule="auto"/>
        <w:ind w:left="181" w:right="115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  <w:spacing w:val="-4"/>
        </w:rPr>
        <w:t>Sunulan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deliller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ışığında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yapılan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değerlendirmede;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“PORTIXOL”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ibaresi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ile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sunulacak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olan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 xml:space="preserve">hizmetin </w:t>
      </w:r>
      <w:r w:rsidRPr="00297F18">
        <w:rPr>
          <w:rFonts w:asciiTheme="minorHAnsi" w:hAnsiTheme="minorHAnsi" w:cstheme="minorHAnsi"/>
          <w:spacing w:val="-6"/>
        </w:rPr>
        <w:t xml:space="preserve">ilişkinin ve coğrafi yerin tüketiciler arasında bilinirliğinin somut deliller ile kanıtlanmadığı göz önünde bulundurulduğunda tanımlayıcılığa ve ayırt edicilikten yoksunluğa dair iddiaların reddedilmesi ge- </w:t>
      </w:r>
      <w:r w:rsidRPr="00297F18">
        <w:rPr>
          <w:rFonts w:asciiTheme="minorHAnsi" w:hAnsiTheme="minorHAnsi" w:cstheme="minorHAnsi"/>
          <w:spacing w:val="-4"/>
        </w:rPr>
        <w:t>rekmiştir. Kaldı ki, Mallorca Mietboerse S.L. tarafından bir bütün olarak itiraz edilen “INMOBILIARIA PORTIXOL” ibaresi ile “gayrimenkul (emlakçılık) hizmetlerinin” gelecek</w:t>
      </w:r>
      <w:r>
        <w:rPr>
          <w:rFonts w:asciiTheme="minorHAnsi" w:hAnsiTheme="minorHAnsi" w:cstheme="minorHAnsi"/>
          <w:spacing w:val="-4"/>
        </w:rPr>
        <w:t>te de ilişkilendirilme ihtimal</w:t>
      </w:r>
      <w:r w:rsidRPr="00297F18">
        <w:rPr>
          <w:rFonts w:asciiTheme="minorHAnsi" w:hAnsiTheme="minorHAnsi" w:cstheme="minorHAnsi"/>
          <w:spacing w:val="-2"/>
        </w:rPr>
        <w:t>lerinin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olacağına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dair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yeterli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delil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sunulmamış,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sunulan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deliller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de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başvuru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tarihinde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 xml:space="preserve">“gayrimenkul </w:t>
      </w:r>
      <w:r w:rsidRPr="00297F18">
        <w:rPr>
          <w:rFonts w:asciiTheme="minorHAnsi" w:hAnsiTheme="minorHAnsi" w:cstheme="minorHAnsi"/>
        </w:rPr>
        <w:t>(emlakçılık) hizmetleri” ile ilgili olarak marka ile hizmetlerin ilişkilendirildiğini kanıtlayamamıştır.</w:t>
      </w:r>
    </w:p>
    <w:p w:rsidR="00297F18" w:rsidRPr="00297F18" w:rsidRDefault="00297F18" w:rsidP="00297F18">
      <w:pPr>
        <w:pStyle w:val="GvdeMetni"/>
        <w:kinsoku w:val="0"/>
        <w:overflowPunct w:val="0"/>
        <w:spacing w:before="202" w:line="230" w:lineRule="auto"/>
        <w:ind w:left="181" w:right="115"/>
        <w:jc w:val="both"/>
        <w:rPr>
          <w:rFonts w:asciiTheme="minorHAnsi" w:hAnsiTheme="minorHAnsi" w:cstheme="minorHAnsi"/>
          <w:spacing w:val="-9"/>
        </w:rPr>
      </w:pPr>
    </w:p>
    <w:p w:rsidR="00297F18" w:rsidRPr="00297F18" w:rsidRDefault="00297F18" w:rsidP="00297F18">
      <w:pPr>
        <w:pStyle w:val="GvdeMetni"/>
        <w:kinsoku w:val="0"/>
        <w:overflowPunct w:val="0"/>
        <w:spacing w:before="11"/>
        <w:rPr>
          <w:rFonts w:asciiTheme="minorHAnsi" w:hAnsiTheme="minorHAnsi" w:cstheme="minorHAnsi"/>
          <w:sz w:val="21"/>
          <w:szCs w:val="21"/>
        </w:rPr>
      </w:pPr>
      <w:r w:rsidRPr="00297F18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661312" behindDoc="0" locked="0" layoutInCell="0" allowOverlap="1">
                <wp:simplePos x="0" y="0"/>
                <wp:positionH relativeFrom="page">
                  <wp:posOffset>826135</wp:posOffset>
                </wp:positionH>
                <wp:positionV relativeFrom="paragraph">
                  <wp:posOffset>185420</wp:posOffset>
                </wp:positionV>
                <wp:extent cx="6262370" cy="635"/>
                <wp:effectExtent l="6985" t="12700" r="7620" b="5715"/>
                <wp:wrapTopAndBottom/>
                <wp:docPr id="1" name="Serbest 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62370" cy="635"/>
                        </a:xfrm>
                        <a:custGeom>
                          <a:avLst/>
                          <a:gdLst>
                            <a:gd name="T0" fmla="*/ 0 w 9862"/>
                            <a:gd name="T1" fmla="*/ 0 h 1"/>
                            <a:gd name="T2" fmla="*/ 9861 w 9862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862" h="1">
                              <a:moveTo>
                                <a:pt x="0" y="0"/>
                              </a:moveTo>
                              <a:lnTo>
                                <a:pt x="9861" y="0"/>
                              </a:lnTo>
                            </a:path>
                          </a:pathLst>
                        </a:custGeom>
                        <a:noFill/>
                        <a:ln w="7200">
                          <a:solidFill>
                            <a:srgbClr val="3259B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1FAC37DB" id="Serbest Form 1" o:spid="_x0000_s1026" style="position:absolute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5.05pt,14.6pt,558.1pt,14.6pt" coordsize="9862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" o:allowincell="f" filled="f" strokecolor="#3259bf" strokeweight=".2mm">
                <v:path arrowok="t" o:connecttype="custom" o:connectlocs="0,0;6261735,0" o:connectangles="0,0"/>
                <w10:wrap type="topAndBottom" anchorx="page"/>
              </v:polyline>
            </w:pict>
          </mc:Fallback>
        </mc:AlternateContent>
      </w:r>
    </w:p>
    <w:p w:rsidR="00297F18" w:rsidRPr="00297F18" w:rsidRDefault="00297F18" w:rsidP="00297F18">
      <w:pPr>
        <w:pStyle w:val="GvdeMetni"/>
        <w:kinsoku w:val="0"/>
        <w:overflowPunct w:val="0"/>
        <w:spacing w:before="29"/>
        <w:ind w:left="181"/>
        <w:rPr>
          <w:rFonts w:asciiTheme="minorHAnsi" w:hAnsiTheme="minorHAnsi" w:cstheme="minorHAnsi"/>
          <w:spacing w:val="-2"/>
          <w:w w:val="90"/>
          <w:sz w:val="18"/>
          <w:szCs w:val="18"/>
        </w:rPr>
      </w:pPr>
      <w:r w:rsidRPr="00297F18">
        <w:rPr>
          <w:rFonts w:asciiTheme="minorHAnsi" w:hAnsiTheme="minorHAnsi" w:cstheme="minorHAnsi"/>
          <w:w w:val="90"/>
          <w:sz w:val="18"/>
          <w:szCs w:val="18"/>
        </w:rPr>
        <w:t>2</w:t>
      </w:r>
      <w:r w:rsidRPr="00297F18">
        <w:rPr>
          <w:rFonts w:asciiTheme="minorHAnsi" w:hAnsiTheme="minorHAnsi" w:cstheme="minorHAnsi"/>
          <w:spacing w:val="48"/>
          <w:sz w:val="18"/>
          <w:szCs w:val="18"/>
        </w:rPr>
        <w:t xml:space="preserve"> </w:t>
      </w:r>
      <w:r w:rsidRPr="00297F18">
        <w:rPr>
          <w:rFonts w:asciiTheme="minorHAnsi" w:hAnsiTheme="minorHAnsi" w:cstheme="minorHAnsi"/>
          <w:w w:val="90"/>
          <w:sz w:val="18"/>
          <w:szCs w:val="18"/>
        </w:rPr>
        <w:t>https://euipo.europa.eu/eSearchCLW/#basic/*///number/0368%2F2016</w:t>
      </w:r>
      <w:r w:rsidRPr="00297F18">
        <w:rPr>
          <w:rFonts w:asciiTheme="minorHAnsi" w:hAnsiTheme="minorHAnsi" w:cstheme="minorHAnsi"/>
          <w:spacing w:val="48"/>
          <w:sz w:val="18"/>
          <w:szCs w:val="18"/>
        </w:rPr>
        <w:t xml:space="preserve"> </w:t>
      </w:r>
      <w:r w:rsidRPr="00297F18">
        <w:rPr>
          <w:rFonts w:asciiTheme="minorHAnsi" w:hAnsiTheme="minorHAnsi" w:cstheme="minorHAnsi"/>
          <w:w w:val="90"/>
          <w:sz w:val="18"/>
          <w:szCs w:val="18"/>
        </w:rPr>
        <w:t>(Erişim</w:t>
      </w:r>
      <w:r w:rsidRPr="00297F18">
        <w:rPr>
          <w:rFonts w:asciiTheme="minorHAnsi" w:hAnsiTheme="minorHAnsi" w:cstheme="minorHAnsi"/>
          <w:spacing w:val="49"/>
          <w:sz w:val="18"/>
          <w:szCs w:val="18"/>
        </w:rPr>
        <w:t xml:space="preserve"> </w:t>
      </w:r>
      <w:r w:rsidRPr="00297F18">
        <w:rPr>
          <w:rFonts w:asciiTheme="minorHAnsi" w:hAnsiTheme="minorHAnsi" w:cstheme="minorHAnsi"/>
          <w:w w:val="90"/>
          <w:sz w:val="18"/>
          <w:szCs w:val="18"/>
        </w:rPr>
        <w:t>Tarihi:</w:t>
      </w:r>
      <w:r w:rsidRPr="00297F18">
        <w:rPr>
          <w:rFonts w:asciiTheme="minorHAnsi" w:hAnsiTheme="minorHAnsi" w:cstheme="minorHAnsi"/>
          <w:spacing w:val="48"/>
          <w:sz w:val="18"/>
          <w:szCs w:val="18"/>
        </w:rPr>
        <w:t xml:space="preserve"> </w:t>
      </w:r>
      <w:r w:rsidRPr="00297F18">
        <w:rPr>
          <w:rFonts w:asciiTheme="minorHAnsi" w:hAnsiTheme="minorHAnsi" w:cstheme="minorHAnsi"/>
          <w:spacing w:val="-2"/>
          <w:w w:val="90"/>
          <w:sz w:val="18"/>
          <w:szCs w:val="18"/>
        </w:rPr>
        <w:t>13.09.2021)</w:t>
      </w:r>
    </w:p>
    <w:p w:rsidR="00297F18" w:rsidRPr="00297F18" w:rsidRDefault="00297F18" w:rsidP="00297F18">
      <w:pPr>
        <w:pStyle w:val="GvdeMetni"/>
        <w:kinsoku w:val="0"/>
        <w:overflowPunct w:val="0"/>
        <w:spacing w:before="29"/>
        <w:ind w:left="181"/>
        <w:rPr>
          <w:rFonts w:asciiTheme="minorHAnsi" w:hAnsiTheme="minorHAnsi" w:cstheme="minorHAnsi"/>
          <w:spacing w:val="-2"/>
          <w:w w:val="90"/>
          <w:sz w:val="18"/>
          <w:szCs w:val="18"/>
        </w:rPr>
        <w:sectPr w:rsidR="00297F18" w:rsidRPr="00297F18" w:rsidSect="007C7AE5">
          <w:pgSz w:w="12240" w:h="15840"/>
          <w:pgMar w:top="1040" w:right="960" w:bottom="1160" w:left="1120" w:header="737" w:footer="977" w:gutter="0"/>
          <w:cols w:space="708"/>
          <w:noEndnote/>
        </w:sectPr>
      </w:pPr>
    </w:p>
    <w:p w:rsidR="00297F18" w:rsidRPr="00297F18" w:rsidRDefault="00297F18" w:rsidP="00297F18">
      <w:pPr>
        <w:pStyle w:val="GvdeMetni"/>
        <w:kinsoku w:val="0"/>
        <w:overflowPunct w:val="0"/>
        <w:rPr>
          <w:rFonts w:asciiTheme="minorHAnsi" w:hAnsiTheme="minorHAnsi" w:cstheme="minorHAnsi"/>
          <w:sz w:val="20"/>
          <w:szCs w:val="20"/>
        </w:rPr>
      </w:pPr>
    </w:p>
    <w:p w:rsidR="00297F18" w:rsidRPr="00297F18" w:rsidRDefault="00297F18" w:rsidP="00297F18">
      <w:pPr>
        <w:pStyle w:val="GvdeMetni"/>
        <w:kinsoku w:val="0"/>
        <w:overflowPunct w:val="0"/>
        <w:spacing w:before="208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  <w:r w:rsidRPr="00297F18">
        <w:rPr>
          <w:rFonts w:asciiTheme="minorHAnsi" w:hAnsiTheme="minorHAnsi" w:cstheme="minorHAnsi"/>
          <w:spacing w:val="-4"/>
        </w:rPr>
        <w:t>Kötü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niyetin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somut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şartlarının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olmadığı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görüldüğünden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İptal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Birimi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tarafından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verilmiş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olan,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kötü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>
        <w:rPr>
          <w:rFonts w:asciiTheme="minorHAnsi" w:hAnsiTheme="minorHAnsi" w:cstheme="minorHAnsi"/>
          <w:spacing w:val="-4"/>
        </w:rPr>
        <w:t>ni</w:t>
      </w:r>
      <w:r w:rsidRPr="00297F18">
        <w:rPr>
          <w:rFonts w:asciiTheme="minorHAnsi" w:hAnsiTheme="minorHAnsi" w:cstheme="minorHAnsi"/>
          <w:spacing w:val="-4"/>
        </w:rPr>
        <w:t>yet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iddiasının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reddedilmesi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yönündeki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karar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da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yerinde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bulunmuştur.</w:t>
      </w:r>
    </w:p>
    <w:p w:rsidR="00297F18" w:rsidRPr="00297F18" w:rsidRDefault="00297F18" w:rsidP="00297F18">
      <w:pPr>
        <w:pStyle w:val="GvdeMetni"/>
        <w:kinsoku w:val="0"/>
        <w:overflowPunct w:val="0"/>
        <w:spacing w:before="202" w:line="230" w:lineRule="auto"/>
        <w:ind w:left="181" w:right="115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  <w:spacing w:val="-4"/>
        </w:rPr>
        <w:t>Ayrıca eskiye dayalı hak sahipliği iddiasıyla ilgili olarak, hükümsüzlük ta</w:t>
      </w:r>
      <w:r>
        <w:rPr>
          <w:rFonts w:asciiTheme="minorHAnsi" w:hAnsiTheme="minorHAnsi" w:cstheme="minorHAnsi"/>
          <w:spacing w:val="-4"/>
        </w:rPr>
        <w:t>lebi sahibi yeni bir delil sun</w:t>
      </w:r>
      <w:r w:rsidRPr="00297F18">
        <w:rPr>
          <w:rFonts w:asciiTheme="minorHAnsi" w:hAnsiTheme="minorHAnsi" w:cstheme="minorHAnsi"/>
          <w:spacing w:val="-4"/>
        </w:rPr>
        <w:t>mamış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itirazında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ayırt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edicilik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tanımlayıcılık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kavramları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üzerinde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durmuştur.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Bu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sebeple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 xml:space="preserve">Büyük </w:t>
      </w:r>
      <w:r w:rsidRPr="00297F18">
        <w:rPr>
          <w:rFonts w:asciiTheme="minorHAnsi" w:hAnsiTheme="minorHAnsi" w:cstheme="minorHAnsi"/>
        </w:rPr>
        <w:t>Kurul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</w:rPr>
        <w:t>İptal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</w:rPr>
        <w:t>Biriminin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</w:rPr>
        <w:t>bu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</w:rPr>
        <w:t>konuda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</w:rPr>
        <w:t>verdiği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</w:rPr>
        <w:t>kararı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</w:rPr>
        <w:t>da</w:t>
      </w:r>
      <w:r w:rsidRPr="00297F18">
        <w:rPr>
          <w:rFonts w:asciiTheme="minorHAnsi" w:hAnsiTheme="minorHAnsi" w:cstheme="minorHAnsi"/>
          <w:spacing w:val="-8"/>
        </w:rPr>
        <w:t xml:space="preserve"> </w:t>
      </w:r>
      <w:r w:rsidRPr="00297F18">
        <w:rPr>
          <w:rFonts w:asciiTheme="minorHAnsi" w:hAnsiTheme="minorHAnsi" w:cstheme="minorHAnsi"/>
        </w:rPr>
        <w:t>onamıştır.</w:t>
      </w:r>
    </w:p>
    <w:p w:rsidR="00297F18" w:rsidRPr="00297F18" w:rsidRDefault="00297F18" w:rsidP="00297F18">
      <w:pPr>
        <w:pStyle w:val="GvdeMetni"/>
        <w:kinsoku w:val="0"/>
        <w:overflowPunct w:val="0"/>
        <w:spacing w:before="203" w:line="230" w:lineRule="auto"/>
        <w:ind w:left="181" w:right="115"/>
        <w:jc w:val="both"/>
        <w:rPr>
          <w:rFonts w:asciiTheme="minorHAnsi" w:hAnsiTheme="minorHAnsi" w:cstheme="minorHAnsi"/>
          <w:spacing w:val="-4"/>
        </w:rPr>
      </w:pPr>
      <w:r w:rsidRPr="00297F18">
        <w:rPr>
          <w:rFonts w:asciiTheme="minorHAnsi" w:hAnsiTheme="minorHAnsi" w:cstheme="minorHAnsi"/>
          <w:spacing w:val="-4"/>
        </w:rPr>
        <w:t xml:space="preserve">Büyük Kurul, itirazı reddederken marka sahiplerinin, üçüncü kişilerin </w:t>
      </w:r>
      <w:r>
        <w:rPr>
          <w:rFonts w:asciiTheme="minorHAnsi" w:hAnsiTheme="minorHAnsi" w:cstheme="minorHAnsi"/>
          <w:spacing w:val="-4"/>
        </w:rPr>
        <w:t>dürüstçe ve ticari hayatın ola</w:t>
      </w:r>
      <w:r w:rsidRPr="00297F18">
        <w:rPr>
          <w:rFonts w:asciiTheme="minorHAnsi" w:hAnsiTheme="minorHAnsi" w:cstheme="minorHAnsi"/>
          <w:spacing w:val="-4"/>
        </w:rPr>
        <w:t>ğan akışı içinde markayı kullanımının engellenemeyeceği hususu üzerinde özellikle durmuştur. Bu hususun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incelenen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vakadaki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yansıması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üçüncü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bir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kişinin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ticarette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“Portixol”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kelimesini</w:t>
      </w:r>
      <w:r w:rsidRPr="00297F18">
        <w:rPr>
          <w:rFonts w:asciiTheme="minorHAnsi" w:hAnsiTheme="minorHAnsi" w:cstheme="minorHAnsi"/>
          <w:spacing w:val="-5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tanımlayıcı bir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şekilde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kullanması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halidir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bu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kullanımın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da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dürüstçe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ve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ticari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hayatın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olağan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akışı</w:t>
      </w:r>
      <w:r w:rsidRPr="00297F18">
        <w:rPr>
          <w:rFonts w:asciiTheme="minorHAnsi" w:hAnsiTheme="minorHAnsi" w:cstheme="minorHAnsi"/>
          <w:spacing w:val="-12"/>
        </w:rPr>
        <w:t xml:space="preserve"> </w:t>
      </w:r>
      <w:r w:rsidRPr="00297F18">
        <w:rPr>
          <w:rFonts w:asciiTheme="minorHAnsi" w:hAnsiTheme="minorHAnsi" w:cstheme="minorHAnsi"/>
          <w:spacing w:val="-4"/>
        </w:rPr>
        <w:t>içinde</w:t>
      </w:r>
      <w:r w:rsidRPr="00297F18">
        <w:rPr>
          <w:rFonts w:asciiTheme="minorHAnsi" w:hAnsiTheme="minorHAnsi" w:cstheme="minorHAnsi"/>
          <w:spacing w:val="-11"/>
        </w:rPr>
        <w:t xml:space="preserve"> </w:t>
      </w:r>
      <w:r>
        <w:rPr>
          <w:rFonts w:asciiTheme="minorHAnsi" w:hAnsiTheme="minorHAnsi" w:cstheme="minorHAnsi"/>
          <w:spacing w:val="-4"/>
        </w:rPr>
        <w:t>ger</w:t>
      </w:r>
      <w:r w:rsidRPr="00297F18">
        <w:rPr>
          <w:rFonts w:asciiTheme="minorHAnsi" w:hAnsiTheme="minorHAnsi" w:cstheme="minorHAnsi"/>
        </w:rPr>
        <w:t xml:space="preserve">çekleşmesi gerekmektedir. Büyük Kurul, üçüncü kişilerin belirtilen şekildeki kullanımının, marka </w:t>
      </w:r>
      <w:r w:rsidRPr="00297F18">
        <w:rPr>
          <w:rFonts w:asciiTheme="minorHAnsi" w:hAnsiTheme="minorHAnsi" w:cstheme="minorHAnsi"/>
          <w:spacing w:val="-4"/>
        </w:rPr>
        <w:t>tescilli olsa da marka sahibince engellenemeyeceğini kararında özellikle belirtmiştir.</w:t>
      </w:r>
    </w:p>
    <w:p w:rsidR="00297F18" w:rsidRPr="00297F18" w:rsidRDefault="00297F18" w:rsidP="00297F18">
      <w:pPr>
        <w:pStyle w:val="GvdeMetni"/>
        <w:kinsoku w:val="0"/>
        <w:overflowPunct w:val="0"/>
        <w:spacing w:before="207" w:line="230" w:lineRule="auto"/>
        <w:ind w:left="181" w:right="115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  <w:spacing w:val="-4"/>
        </w:rPr>
        <w:t xml:space="preserve">Sonuç olarak, Büyük Kurul tescilli markanın hükümsüz kılınmasına dair tüm iddiaları haksız bularak, </w:t>
      </w:r>
      <w:r w:rsidRPr="00297F18">
        <w:rPr>
          <w:rFonts w:asciiTheme="minorHAnsi" w:hAnsiTheme="minorHAnsi" w:cstheme="minorHAnsi"/>
        </w:rPr>
        <w:t>itirazı reddetmiş ve İptal Biriminin kararını onamıştır.</w:t>
      </w:r>
    </w:p>
    <w:p w:rsidR="00297F18" w:rsidRPr="00297F18" w:rsidRDefault="00297F18" w:rsidP="00297F18">
      <w:pPr>
        <w:pStyle w:val="ListeParagraf"/>
        <w:numPr>
          <w:ilvl w:val="0"/>
          <w:numId w:val="4"/>
        </w:numPr>
        <w:tabs>
          <w:tab w:val="left" w:pos="499"/>
        </w:tabs>
        <w:kinsoku w:val="0"/>
        <w:overflowPunct w:val="0"/>
        <w:spacing w:before="194"/>
        <w:ind w:left="499" w:right="0" w:hanging="318"/>
        <w:rPr>
          <w:rFonts w:asciiTheme="minorHAnsi" w:hAnsiTheme="minorHAnsi" w:cstheme="minorHAnsi"/>
          <w:b/>
          <w:bCs/>
          <w:spacing w:val="-2"/>
          <w:sz w:val="22"/>
          <w:szCs w:val="22"/>
        </w:rPr>
      </w:pPr>
      <w:r w:rsidRPr="00297F18">
        <w:rPr>
          <w:rFonts w:asciiTheme="minorHAnsi" w:hAnsiTheme="minorHAnsi" w:cstheme="minorHAnsi"/>
          <w:b/>
          <w:bCs/>
          <w:spacing w:val="-2"/>
          <w:sz w:val="22"/>
          <w:szCs w:val="22"/>
        </w:rPr>
        <w:t>SONUÇ</w:t>
      </w:r>
    </w:p>
    <w:p w:rsidR="00297F18" w:rsidRPr="00297F18" w:rsidRDefault="00297F18" w:rsidP="00297F18">
      <w:pPr>
        <w:pStyle w:val="GvdeMetni"/>
        <w:kinsoku w:val="0"/>
        <w:overflowPunct w:val="0"/>
        <w:spacing w:before="202" w:line="230" w:lineRule="auto"/>
        <w:ind w:left="181" w:right="115"/>
        <w:jc w:val="both"/>
        <w:rPr>
          <w:rFonts w:asciiTheme="minorHAnsi" w:hAnsiTheme="minorHAnsi" w:cstheme="minorHAnsi"/>
        </w:rPr>
      </w:pPr>
      <w:r w:rsidRPr="00297F18">
        <w:rPr>
          <w:rFonts w:asciiTheme="minorHAnsi" w:hAnsiTheme="minorHAnsi" w:cstheme="minorHAnsi"/>
        </w:rPr>
        <w:t>EUIPO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Temyiz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Kurulu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Büyük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Kurulunun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“INMOBILIARIA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PORTIXOL”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kararı,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coğrafi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>yer</w:t>
      </w:r>
      <w:r w:rsidRPr="00297F18">
        <w:rPr>
          <w:rFonts w:asciiTheme="minorHAnsi" w:hAnsiTheme="minorHAnsi" w:cstheme="minorHAnsi"/>
          <w:spacing w:val="-3"/>
        </w:rPr>
        <w:t xml:space="preserve"> </w:t>
      </w:r>
      <w:r w:rsidRPr="00297F18">
        <w:rPr>
          <w:rFonts w:asciiTheme="minorHAnsi" w:hAnsiTheme="minorHAnsi" w:cstheme="minorHAnsi"/>
        </w:rPr>
        <w:t xml:space="preserve">adlarından </w:t>
      </w:r>
      <w:r w:rsidRPr="00297F18">
        <w:rPr>
          <w:rFonts w:asciiTheme="minorHAnsi" w:hAnsiTheme="minorHAnsi" w:cstheme="minorHAnsi"/>
          <w:spacing w:val="-6"/>
        </w:rPr>
        <w:t xml:space="preserve">oluşan veya bunları asli ayırt edici unsur olarak içeren markaların değerlendirilmesinde ele alınması gereken faktörlerden birisinin, inceleme konusu coğrafi yer adının, kamunun ilgili kesimince bilinirlik </w:t>
      </w:r>
      <w:r w:rsidRPr="00297F18">
        <w:rPr>
          <w:rFonts w:asciiTheme="minorHAnsi" w:hAnsiTheme="minorHAnsi" w:cstheme="minorHAnsi"/>
          <w:spacing w:val="-2"/>
        </w:rPr>
        <w:t>düzeyi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olduğunu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belirgin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biçimde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ortaya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koymuştur.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Bu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bağlamda,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kamunun</w:t>
      </w:r>
      <w:r w:rsidRPr="00297F18">
        <w:rPr>
          <w:rFonts w:asciiTheme="minorHAnsi" w:hAnsiTheme="minorHAnsi" w:cstheme="minorHAnsi"/>
          <w:spacing w:val="-14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ilgili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kesimi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 w:rsidRPr="00297F18">
        <w:rPr>
          <w:rFonts w:asciiTheme="minorHAnsi" w:hAnsiTheme="minorHAnsi" w:cstheme="minorHAnsi"/>
          <w:spacing w:val="-2"/>
        </w:rPr>
        <w:t>bir</w:t>
      </w:r>
      <w:r w:rsidRPr="00297F18">
        <w:rPr>
          <w:rFonts w:asciiTheme="minorHAnsi" w:hAnsiTheme="minorHAnsi" w:cstheme="minorHAnsi"/>
          <w:spacing w:val="-13"/>
        </w:rPr>
        <w:t xml:space="preserve"> </w:t>
      </w:r>
      <w:r>
        <w:rPr>
          <w:rFonts w:asciiTheme="minorHAnsi" w:hAnsiTheme="minorHAnsi" w:cstheme="minorHAnsi"/>
          <w:spacing w:val="-2"/>
        </w:rPr>
        <w:t>coğ</w:t>
      </w:r>
      <w:r w:rsidRPr="00297F18">
        <w:rPr>
          <w:rFonts w:asciiTheme="minorHAnsi" w:hAnsiTheme="minorHAnsi" w:cstheme="minorHAnsi"/>
          <w:spacing w:val="-6"/>
        </w:rPr>
        <w:t>rafi yer adını yeteri derecede bilmediği sürece, bu yer adının mal ve hizmetlerle bağlantısı bulunsa dahi,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başvurunun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tanımlayıcılık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gerekçesiyle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reddedilmesi</w:t>
      </w:r>
      <w:r w:rsidRPr="00297F18">
        <w:rPr>
          <w:rFonts w:asciiTheme="minorHAnsi" w:hAnsiTheme="minorHAnsi" w:cstheme="minorHAnsi"/>
          <w:spacing w:val="-10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(veya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tescil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edilmişse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>hükümsüz</w:t>
      </w:r>
      <w:r w:rsidRPr="00297F18">
        <w:rPr>
          <w:rFonts w:asciiTheme="minorHAnsi" w:hAnsiTheme="minorHAnsi" w:cstheme="minorHAnsi"/>
          <w:spacing w:val="-9"/>
        </w:rPr>
        <w:t xml:space="preserve"> </w:t>
      </w:r>
      <w:r w:rsidRPr="00297F18">
        <w:rPr>
          <w:rFonts w:asciiTheme="minorHAnsi" w:hAnsiTheme="minorHAnsi" w:cstheme="minorHAnsi"/>
          <w:spacing w:val="-6"/>
        </w:rPr>
        <w:t xml:space="preserve">kılınması) </w:t>
      </w:r>
      <w:r w:rsidRPr="00297F18">
        <w:rPr>
          <w:rFonts w:asciiTheme="minorHAnsi" w:hAnsiTheme="minorHAnsi" w:cstheme="minorHAnsi"/>
        </w:rPr>
        <w:t>mümkün</w:t>
      </w:r>
      <w:r w:rsidRPr="00297F18">
        <w:rPr>
          <w:rFonts w:asciiTheme="minorHAnsi" w:hAnsiTheme="minorHAnsi" w:cstheme="minorHAnsi"/>
          <w:spacing w:val="-16"/>
        </w:rPr>
        <w:t xml:space="preserve"> </w:t>
      </w:r>
      <w:r>
        <w:rPr>
          <w:rFonts w:asciiTheme="minorHAnsi" w:hAnsiTheme="minorHAnsi" w:cstheme="minorHAnsi"/>
        </w:rPr>
        <w:t>olmayacaktır.</w:t>
      </w:r>
    </w:p>
    <w:p w:rsidR="00297F18" w:rsidRPr="00297F18" w:rsidRDefault="00297F18" w:rsidP="00297F18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</w:rPr>
      </w:pPr>
    </w:p>
    <w:p w:rsidR="00297F18" w:rsidRPr="00297F18" w:rsidRDefault="00297F18" w:rsidP="00297F18">
      <w:pPr>
        <w:pStyle w:val="GvdeMetni"/>
        <w:kinsoku w:val="0"/>
        <w:overflowPunct w:val="0"/>
        <w:rPr>
          <w:rFonts w:asciiTheme="minorHAnsi" w:hAnsiTheme="minorHAnsi" w:cstheme="minorHAnsi"/>
          <w:sz w:val="26"/>
          <w:szCs w:val="26"/>
        </w:rPr>
      </w:pPr>
    </w:p>
    <w:p w:rsidR="00297F18" w:rsidRPr="00297F18" w:rsidRDefault="00297F18" w:rsidP="00297F18">
      <w:pPr>
        <w:pStyle w:val="GvdeMetni"/>
        <w:kinsoku w:val="0"/>
        <w:overflowPunct w:val="0"/>
        <w:spacing w:before="10"/>
        <w:rPr>
          <w:rFonts w:asciiTheme="minorHAnsi" w:hAnsiTheme="minorHAnsi" w:cstheme="minorHAnsi"/>
          <w:sz w:val="25"/>
          <w:szCs w:val="25"/>
        </w:rPr>
      </w:pPr>
    </w:p>
    <w:p w:rsidR="00297F18" w:rsidRPr="00297F18" w:rsidRDefault="00297F18" w:rsidP="00297F18">
      <w:pPr>
        <w:pStyle w:val="GvdeMetni"/>
        <w:kinsoku w:val="0"/>
        <w:overflowPunct w:val="0"/>
        <w:spacing w:before="95"/>
        <w:ind w:left="181"/>
        <w:jc w:val="both"/>
        <w:rPr>
          <w:rFonts w:asciiTheme="minorHAnsi" w:hAnsiTheme="minorHAnsi" w:cstheme="minorHAnsi"/>
          <w:spacing w:val="-2"/>
          <w:sz w:val="18"/>
          <w:szCs w:val="18"/>
        </w:rPr>
      </w:pPr>
      <w:r w:rsidRPr="00297F18">
        <w:rPr>
          <w:rFonts w:asciiTheme="minorHAnsi" w:hAnsiTheme="minorHAnsi" w:cstheme="minorHAnsi"/>
          <w:spacing w:val="-2"/>
          <w:sz w:val="18"/>
          <w:szCs w:val="18"/>
        </w:rPr>
        <w:t xml:space="preserve">*Avukat, Ankara Patent Bürosu, </w:t>
      </w:r>
      <w:hyperlink r:id="rId6" w:history="1">
        <w:r w:rsidRPr="00297F18">
          <w:rPr>
            <w:rFonts w:asciiTheme="minorHAnsi" w:hAnsiTheme="minorHAnsi" w:cstheme="minorHAnsi"/>
            <w:spacing w:val="-2"/>
            <w:sz w:val="18"/>
            <w:szCs w:val="18"/>
          </w:rPr>
          <w:t>cansu.catma@ankarapatent.com</w:t>
        </w:r>
      </w:hyperlink>
    </w:p>
    <w:p w:rsidR="00297F18" w:rsidRPr="00297F18" w:rsidRDefault="00297F18" w:rsidP="00297F18">
      <w:pPr>
        <w:pStyle w:val="GvdeMetni"/>
        <w:kinsoku w:val="0"/>
        <w:overflowPunct w:val="0"/>
        <w:spacing w:before="95"/>
        <w:ind w:left="181"/>
        <w:jc w:val="both"/>
        <w:rPr>
          <w:rFonts w:asciiTheme="minorHAnsi" w:hAnsiTheme="minorHAnsi" w:cstheme="minorHAnsi"/>
          <w:spacing w:val="-2"/>
          <w:sz w:val="18"/>
          <w:szCs w:val="18"/>
        </w:rPr>
      </w:pPr>
      <w:r w:rsidRPr="00297F18">
        <w:rPr>
          <w:rFonts w:asciiTheme="minorHAnsi" w:hAnsiTheme="minorHAnsi" w:cstheme="minorHAnsi"/>
          <w:spacing w:val="-2"/>
          <w:sz w:val="18"/>
          <w:szCs w:val="18"/>
        </w:rPr>
        <w:t xml:space="preserve">**Fikri Mülkiyet Danışmanı, Ankara Patent Bürosu, </w:t>
      </w:r>
      <w:hyperlink r:id="rId7" w:history="1">
        <w:r w:rsidRPr="00297F18">
          <w:rPr>
            <w:rFonts w:asciiTheme="minorHAnsi" w:hAnsiTheme="minorHAnsi" w:cstheme="minorHAnsi"/>
            <w:spacing w:val="-2"/>
            <w:sz w:val="18"/>
            <w:szCs w:val="18"/>
          </w:rPr>
          <w:t>onder.unsal@ankarapatent.com</w:t>
        </w:r>
      </w:hyperlink>
    </w:p>
    <w:p w:rsidR="00164C4B" w:rsidRPr="00297F18" w:rsidRDefault="00164C4B" w:rsidP="00297F18">
      <w:pPr>
        <w:pStyle w:val="GvdeMetni"/>
        <w:kinsoku w:val="0"/>
        <w:overflowPunct w:val="0"/>
        <w:spacing w:before="95"/>
        <w:ind w:left="181"/>
        <w:jc w:val="both"/>
        <w:rPr>
          <w:rFonts w:asciiTheme="minorHAnsi" w:hAnsiTheme="minorHAnsi" w:cstheme="minorHAnsi"/>
          <w:spacing w:val="-2"/>
          <w:sz w:val="18"/>
          <w:szCs w:val="18"/>
        </w:rPr>
      </w:pPr>
    </w:p>
    <w:sectPr w:rsidR="00164C4B" w:rsidRPr="00297F18" w:rsidSect="00DF4A05">
      <w:pgSz w:w="11906" w:h="16838"/>
      <w:pgMar w:top="1440" w:right="1077" w:bottom="1440" w:left="1077" w:header="709" w:footer="17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numFmt w:val="bullet"/>
      <w:lvlText w:val=""/>
      <w:lvlJc w:val="left"/>
      <w:pPr>
        <w:ind w:left="543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502" w:hanging="360"/>
      </w:pPr>
    </w:lvl>
    <w:lvl w:ilvl="2">
      <w:numFmt w:val="bullet"/>
      <w:lvlText w:val="•"/>
      <w:lvlJc w:val="left"/>
      <w:pPr>
        <w:ind w:left="2464" w:hanging="360"/>
      </w:pPr>
    </w:lvl>
    <w:lvl w:ilvl="3">
      <w:numFmt w:val="bullet"/>
      <w:lvlText w:val="•"/>
      <w:lvlJc w:val="left"/>
      <w:pPr>
        <w:ind w:left="3426" w:hanging="360"/>
      </w:pPr>
    </w:lvl>
    <w:lvl w:ilvl="4">
      <w:numFmt w:val="bullet"/>
      <w:lvlText w:val="•"/>
      <w:lvlJc w:val="left"/>
      <w:pPr>
        <w:ind w:left="4388" w:hanging="360"/>
      </w:pPr>
    </w:lvl>
    <w:lvl w:ilvl="5">
      <w:numFmt w:val="bullet"/>
      <w:lvlText w:val="•"/>
      <w:lvlJc w:val="left"/>
      <w:pPr>
        <w:ind w:left="5350" w:hanging="360"/>
      </w:pPr>
    </w:lvl>
    <w:lvl w:ilvl="6">
      <w:numFmt w:val="bullet"/>
      <w:lvlText w:val="•"/>
      <w:lvlJc w:val="left"/>
      <w:pPr>
        <w:ind w:left="6312" w:hanging="360"/>
      </w:pPr>
    </w:lvl>
    <w:lvl w:ilvl="7">
      <w:numFmt w:val="bullet"/>
      <w:lvlText w:val="•"/>
      <w:lvlJc w:val="left"/>
      <w:pPr>
        <w:ind w:left="7274" w:hanging="360"/>
      </w:pPr>
    </w:lvl>
    <w:lvl w:ilvl="8">
      <w:numFmt w:val="bullet"/>
      <w:lvlText w:val="•"/>
      <w:lvlJc w:val="left"/>
      <w:pPr>
        <w:ind w:left="8236" w:hanging="36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upperRoman"/>
      <w:lvlText w:val="%1."/>
      <w:lvlJc w:val="left"/>
      <w:pPr>
        <w:ind w:left="374" w:hanging="191"/>
      </w:pPr>
      <w:rPr>
        <w:rFonts w:cs="Times New Roman"/>
        <w:spacing w:val="0"/>
        <w:w w:val="74"/>
      </w:rPr>
    </w:lvl>
    <w:lvl w:ilvl="1">
      <w:numFmt w:val="bullet"/>
      <w:lvlText w:val="•"/>
      <w:lvlJc w:val="left"/>
      <w:pPr>
        <w:ind w:left="1358" w:hanging="191"/>
      </w:pPr>
    </w:lvl>
    <w:lvl w:ilvl="2">
      <w:numFmt w:val="bullet"/>
      <w:lvlText w:val="•"/>
      <w:lvlJc w:val="left"/>
      <w:pPr>
        <w:ind w:left="2336" w:hanging="191"/>
      </w:pPr>
    </w:lvl>
    <w:lvl w:ilvl="3">
      <w:numFmt w:val="bullet"/>
      <w:lvlText w:val="•"/>
      <w:lvlJc w:val="left"/>
      <w:pPr>
        <w:ind w:left="3314" w:hanging="191"/>
      </w:pPr>
    </w:lvl>
    <w:lvl w:ilvl="4">
      <w:numFmt w:val="bullet"/>
      <w:lvlText w:val="•"/>
      <w:lvlJc w:val="left"/>
      <w:pPr>
        <w:ind w:left="4292" w:hanging="191"/>
      </w:pPr>
    </w:lvl>
    <w:lvl w:ilvl="5">
      <w:numFmt w:val="bullet"/>
      <w:lvlText w:val="•"/>
      <w:lvlJc w:val="left"/>
      <w:pPr>
        <w:ind w:left="5270" w:hanging="191"/>
      </w:pPr>
    </w:lvl>
    <w:lvl w:ilvl="6">
      <w:numFmt w:val="bullet"/>
      <w:lvlText w:val="•"/>
      <w:lvlJc w:val="left"/>
      <w:pPr>
        <w:ind w:left="6248" w:hanging="191"/>
      </w:pPr>
    </w:lvl>
    <w:lvl w:ilvl="7">
      <w:numFmt w:val="bullet"/>
      <w:lvlText w:val="•"/>
      <w:lvlJc w:val="left"/>
      <w:pPr>
        <w:ind w:left="7226" w:hanging="191"/>
      </w:pPr>
    </w:lvl>
    <w:lvl w:ilvl="8">
      <w:numFmt w:val="bullet"/>
      <w:lvlText w:val="•"/>
      <w:lvlJc w:val="left"/>
      <w:pPr>
        <w:ind w:left="8204" w:hanging="191"/>
      </w:pPr>
    </w:lvl>
  </w:abstractNum>
  <w:abstractNum w:abstractNumId="2" w15:restartNumberingAfterBreak="0">
    <w:nsid w:val="00000404"/>
    <w:multiLevelType w:val="multilevel"/>
    <w:tmpl w:val="FFFFFFFF"/>
    <w:lvl w:ilvl="0">
      <w:start w:val="2"/>
      <w:numFmt w:val="decimal"/>
      <w:lvlText w:val="%1"/>
      <w:lvlJc w:val="left"/>
      <w:pPr>
        <w:ind w:left="325" w:hanging="144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304" w:hanging="144"/>
      </w:pPr>
    </w:lvl>
    <w:lvl w:ilvl="2">
      <w:numFmt w:val="bullet"/>
      <w:lvlText w:val="•"/>
      <w:lvlJc w:val="left"/>
      <w:pPr>
        <w:ind w:left="2288" w:hanging="144"/>
      </w:pPr>
    </w:lvl>
    <w:lvl w:ilvl="3">
      <w:numFmt w:val="bullet"/>
      <w:lvlText w:val="•"/>
      <w:lvlJc w:val="left"/>
      <w:pPr>
        <w:ind w:left="3272" w:hanging="144"/>
      </w:pPr>
    </w:lvl>
    <w:lvl w:ilvl="4">
      <w:numFmt w:val="bullet"/>
      <w:lvlText w:val="•"/>
      <w:lvlJc w:val="left"/>
      <w:pPr>
        <w:ind w:left="4256" w:hanging="144"/>
      </w:pPr>
    </w:lvl>
    <w:lvl w:ilvl="5">
      <w:numFmt w:val="bullet"/>
      <w:lvlText w:val="•"/>
      <w:lvlJc w:val="left"/>
      <w:pPr>
        <w:ind w:left="5240" w:hanging="144"/>
      </w:pPr>
    </w:lvl>
    <w:lvl w:ilvl="6">
      <w:numFmt w:val="bullet"/>
      <w:lvlText w:val="•"/>
      <w:lvlJc w:val="left"/>
      <w:pPr>
        <w:ind w:left="6224" w:hanging="144"/>
      </w:pPr>
    </w:lvl>
    <w:lvl w:ilvl="7">
      <w:numFmt w:val="bullet"/>
      <w:lvlText w:val="•"/>
      <w:lvlJc w:val="left"/>
      <w:pPr>
        <w:ind w:left="7208" w:hanging="144"/>
      </w:pPr>
    </w:lvl>
    <w:lvl w:ilvl="8">
      <w:numFmt w:val="bullet"/>
      <w:lvlText w:val="•"/>
      <w:lvlJc w:val="left"/>
      <w:pPr>
        <w:ind w:left="8192" w:hanging="144"/>
      </w:pPr>
    </w:lvl>
  </w:abstractNum>
  <w:abstractNum w:abstractNumId="3" w15:restartNumberingAfterBreak="0">
    <w:nsid w:val="00000405"/>
    <w:multiLevelType w:val="multilevel"/>
    <w:tmpl w:val="1B4EE76C"/>
    <w:lvl w:ilvl="0">
      <w:start w:val="1"/>
      <w:numFmt w:val="upperRoman"/>
      <w:lvlText w:val="%1."/>
      <w:lvlJc w:val="left"/>
      <w:pPr>
        <w:ind w:left="374" w:hanging="191"/>
      </w:pPr>
      <w:rPr>
        <w:rFonts w:ascii="Tahoma" w:hAnsi="Tahoma" w:cs="Tahoma"/>
        <w:b/>
        <w:bCs/>
        <w:i w:val="0"/>
        <w:iCs w:val="0"/>
        <w:spacing w:val="0"/>
        <w:w w:val="74"/>
        <w:sz w:val="22"/>
        <w:szCs w:val="22"/>
      </w:rPr>
    </w:lvl>
    <w:lvl w:ilvl="1">
      <w:start w:val="1"/>
      <w:numFmt w:val="decimal"/>
      <w:lvlText w:val="%2."/>
      <w:lvlJc w:val="left"/>
      <w:pPr>
        <w:ind w:left="901" w:hanging="360"/>
      </w:pPr>
      <w:rPr>
        <w:rFonts w:asciiTheme="minorHAnsi" w:hAnsiTheme="minorHAnsi" w:cstheme="minorHAnsi" w:hint="default"/>
        <w:b w:val="0"/>
        <w:bCs w:val="0"/>
        <w:i w:val="0"/>
        <w:iCs w:val="0"/>
        <w:spacing w:val="0"/>
        <w:w w:val="95"/>
        <w:sz w:val="22"/>
        <w:szCs w:val="22"/>
      </w:rPr>
    </w:lvl>
    <w:lvl w:ilvl="2">
      <w:numFmt w:val="bullet"/>
      <w:lvlText w:val="•"/>
      <w:lvlJc w:val="left"/>
      <w:pPr>
        <w:ind w:left="1928" w:hanging="360"/>
      </w:pPr>
    </w:lvl>
    <w:lvl w:ilvl="3">
      <w:numFmt w:val="bullet"/>
      <w:lvlText w:val="•"/>
      <w:lvlJc w:val="left"/>
      <w:pPr>
        <w:ind w:left="2957" w:hanging="360"/>
      </w:pPr>
    </w:lvl>
    <w:lvl w:ilvl="4">
      <w:numFmt w:val="bullet"/>
      <w:lvlText w:val="•"/>
      <w:lvlJc w:val="left"/>
      <w:pPr>
        <w:ind w:left="3986" w:hanging="360"/>
      </w:pPr>
    </w:lvl>
    <w:lvl w:ilvl="5">
      <w:numFmt w:val="bullet"/>
      <w:lvlText w:val="•"/>
      <w:lvlJc w:val="left"/>
      <w:pPr>
        <w:ind w:left="5015" w:hanging="360"/>
      </w:pPr>
    </w:lvl>
    <w:lvl w:ilvl="6">
      <w:numFmt w:val="bullet"/>
      <w:lvlText w:val="•"/>
      <w:lvlJc w:val="left"/>
      <w:pPr>
        <w:ind w:left="6044" w:hanging="360"/>
      </w:pPr>
    </w:lvl>
    <w:lvl w:ilvl="7">
      <w:numFmt w:val="bullet"/>
      <w:lvlText w:val="•"/>
      <w:lvlJc w:val="left"/>
      <w:pPr>
        <w:ind w:left="7073" w:hanging="360"/>
      </w:pPr>
    </w:lvl>
    <w:lvl w:ilvl="8">
      <w:numFmt w:val="bullet"/>
      <w:lvlText w:val="•"/>
      <w:lvlJc w:val="left"/>
      <w:pPr>
        <w:ind w:left="8102" w:hanging="360"/>
      </w:pPr>
    </w:lvl>
  </w:abstractNum>
  <w:abstractNum w:abstractNumId="4" w15:restartNumberingAfterBreak="0">
    <w:nsid w:val="00000406"/>
    <w:multiLevelType w:val="multilevel"/>
    <w:tmpl w:val="FFFFFFFF"/>
    <w:lvl w:ilvl="0">
      <w:numFmt w:val="bullet"/>
      <w:lvlText w:val=""/>
      <w:lvlJc w:val="left"/>
      <w:pPr>
        <w:ind w:left="748" w:hanging="360"/>
      </w:pPr>
      <w:rPr>
        <w:rFonts w:ascii="Symbol" w:hAnsi="Symbol"/>
        <w:b w:val="0"/>
        <w:i w:val="0"/>
        <w:spacing w:val="0"/>
        <w:w w:val="100"/>
        <w:sz w:val="22"/>
      </w:rPr>
    </w:lvl>
    <w:lvl w:ilvl="1">
      <w:numFmt w:val="bullet"/>
      <w:lvlText w:val="•"/>
      <w:lvlJc w:val="left"/>
      <w:pPr>
        <w:ind w:left="1682" w:hanging="360"/>
      </w:pPr>
    </w:lvl>
    <w:lvl w:ilvl="2">
      <w:numFmt w:val="bullet"/>
      <w:lvlText w:val="•"/>
      <w:lvlJc w:val="left"/>
      <w:pPr>
        <w:ind w:left="2624" w:hanging="360"/>
      </w:pPr>
    </w:lvl>
    <w:lvl w:ilvl="3">
      <w:numFmt w:val="bullet"/>
      <w:lvlText w:val="•"/>
      <w:lvlJc w:val="left"/>
      <w:pPr>
        <w:ind w:left="3566" w:hanging="360"/>
      </w:pPr>
    </w:lvl>
    <w:lvl w:ilvl="4">
      <w:numFmt w:val="bullet"/>
      <w:lvlText w:val="•"/>
      <w:lvlJc w:val="left"/>
      <w:pPr>
        <w:ind w:left="4508" w:hanging="360"/>
      </w:pPr>
    </w:lvl>
    <w:lvl w:ilvl="5">
      <w:numFmt w:val="bullet"/>
      <w:lvlText w:val="•"/>
      <w:lvlJc w:val="left"/>
      <w:pPr>
        <w:ind w:left="5450" w:hanging="360"/>
      </w:pPr>
    </w:lvl>
    <w:lvl w:ilvl="6">
      <w:numFmt w:val="bullet"/>
      <w:lvlText w:val="•"/>
      <w:lvlJc w:val="left"/>
      <w:pPr>
        <w:ind w:left="6392" w:hanging="360"/>
      </w:pPr>
    </w:lvl>
    <w:lvl w:ilvl="7">
      <w:numFmt w:val="bullet"/>
      <w:lvlText w:val="•"/>
      <w:lvlJc w:val="left"/>
      <w:pPr>
        <w:ind w:left="7334" w:hanging="360"/>
      </w:pPr>
    </w:lvl>
    <w:lvl w:ilvl="8">
      <w:numFmt w:val="bullet"/>
      <w:lvlText w:val="•"/>
      <w:lvlJc w:val="left"/>
      <w:pPr>
        <w:ind w:left="8276" w:hanging="36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"/>
      <w:lvlJc w:val="left"/>
      <w:pPr>
        <w:ind w:left="187" w:hanging="195"/>
      </w:pPr>
      <w:rPr>
        <w:rFonts w:ascii="Century Gothic" w:hAnsi="Century Gothic" w:cs="Century Gothic"/>
        <w:b w:val="0"/>
        <w:bCs w:val="0"/>
        <w:i w:val="0"/>
        <w:iCs w:val="0"/>
        <w:spacing w:val="0"/>
        <w:w w:val="94"/>
        <w:sz w:val="18"/>
        <w:szCs w:val="18"/>
      </w:rPr>
    </w:lvl>
    <w:lvl w:ilvl="1">
      <w:numFmt w:val="bullet"/>
      <w:lvlText w:val="•"/>
      <w:lvlJc w:val="left"/>
      <w:pPr>
        <w:ind w:left="1178" w:hanging="195"/>
      </w:pPr>
    </w:lvl>
    <w:lvl w:ilvl="2">
      <w:numFmt w:val="bullet"/>
      <w:lvlText w:val="•"/>
      <w:lvlJc w:val="left"/>
      <w:pPr>
        <w:ind w:left="2176" w:hanging="195"/>
      </w:pPr>
    </w:lvl>
    <w:lvl w:ilvl="3">
      <w:numFmt w:val="bullet"/>
      <w:lvlText w:val="•"/>
      <w:lvlJc w:val="left"/>
      <w:pPr>
        <w:ind w:left="3174" w:hanging="195"/>
      </w:pPr>
    </w:lvl>
    <w:lvl w:ilvl="4">
      <w:numFmt w:val="bullet"/>
      <w:lvlText w:val="•"/>
      <w:lvlJc w:val="left"/>
      <w:pPr>
        <w:ind w:left="4172" w:hanging="195"/>
      </w:pPr>
    </w:lvl>
    <w:lvl w:ilvl="5">
      <w:numFmt w:val="bullet"/>
      <w:lvlText w:val="•"/>
      <w:lvlJc w:val="left"/>
      <w:pPr>
        <w:ind w:left="5170" w:hanging="195"/>
      </w:pPr>
    </w:lvl>
    <w:lvl w:ilvl="6">
      <w:numFmt w:val="bullet"/>
      <w:lvlText w:val="•"/>
      <w:lvlJc w:val="left"/>
      <w:pPr>
        <w:ind w:left="6168" w:hanging="195"/>
      </w:pPr>
    </w:lvl>
    <w:lvl w:ilvl="7">
      <w:numFmt w:val="bullet"/>
      <w:lvlText w:val="•"/>
      <w:lvlJc w:val="left"/>
      <w:pPr>
        <w:ind w:left="7166" w:hanging="195"/>
      </w:pPr>
    </w:lvl>
    <w:lvl w:ilvl="8">
      <w:numFmt w:val="bullet"/>
      <w:lvlText w:val="•"/>
      <w:lvlJc w:val="left"/>
      <w:pPr>
        <w:ind w:left="8164" w:hanging="195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-"/>
      <w:lvlJc w:val="left"/>
      <w:pPr>
        <w:ind w:left="750" w:hanging="567"/>
      </w:pPr>
      <w:rPr>
        <w:rFonts w:ascii="Calibri" w:hAnsi="Calibri"/>
        <w:b w:val="0"/>
        <w:i w:val="0"/>
        <w:spacing w:val="0"/>
        <w:w w:val="100"/>
        <w:sz w:val="22"/>
      </w:rPr>
    </w:lvl>
    <w:lvl w:ilvl="1">
      <w:numFmt w:val="bullet"/>
      <w:lvlText w:val="-"/>
      <w:lvlJc w:val="left"/>
      <w:pPr>
        <w:ind w:left="903" w:hanging="360"/>
      </w:pPr>
      <w:rPr>
        <w:rFonts w:ascii="Calibri" w:hAnsi="Calibri"/>
        <w:b w:val="0"/>
        <w:i w:val="0"/>
        <w:spacing w:val="0"/>
        <w:w w:val="100"/>
        <w:sz w:val="22"/>
      </w:rPr>
    </w:lvl>
    <w:lvl w:ilvl="2">
      <w:numFmt w:val="bullet"/>
      <w:lvlText w:val="•"/>
      <w:lvlJc w:val="left"/>
      <w:pPr>
        <w:ind w:left="1928" w:hanging="360"/>
      </w:pPr>
    </w:lvl>
    <w:lvl w:ilvl="3">
      <w:numFmt w:val="bullet"/>
      <w:lvlText w:val="•"/>
      <w:lvlJc w:val="left"/>
      <w:pPr>
        <w:ind w:left="2957" w:hanging="360"/>
      </w:pPr>
    </w:lvl>
    <w:lvl w:ilvl="4">
      <w:numFmt w:val="bullet"/>
      <w:lvlText w:val="•"/>
      <w:lvlJc w:val="left"/>
      <w:pPr>
        <w:ind w:left="3986" w:hanging="360"/>
      </w:pPr>
    </w:lvl>
    <w:lvl w:ilvl="5">
      <w:numFmt w:val="bullet"/>
      <w:lvlText w:val="•"/>
      <w:lvlJc w:val="left"/>
      <w:pPr>
        <w:ind w:left="5015" w:hanging="360"/>
      </w:pPr>
    </w:lvl>
    <w:lvl w:ilvl="6">
      <w:numFmt w:val="bullet"/>
      <w:lvlText w:val="•"/>
      <w:lvlJc w:val="left"/>
      <w:pPr>
        <w:ind w:left="6044" w:hanging="360"/>
      </w:pPr>
    </w:lvl>
    <w:lvl w:ilvl="7">
      <w:numFmt w:val="bullet"/>
      <w:lvlText w:val="•"/>
      <w:lvlJc w:val="left"/>
      <w:pPr>
        <w:ind w:left="7073" w:hanging="360"/>
      </w:pPr>
    </w:lvl>
    <w:lvl w:ilvl="8">
      <w:numFmt w:val="bullet"/>
      <w:lvlText w:val="•"/>
      <w:lvlJc w:val="left"/>
      <w:pPr>
        <w:ind w:left="8102" w:hanging="360"/>
      </w:p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F18"/>
    <w:rsid w:val="00164C4B"/>
    <w:rsid w:val="00297F18"/>
    <w:rsid w:val="00DF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211AA253"/>
  <w15:chartTrackingRefBased/>
  <w15:docId w15:val="{517E443B-3558-4138-9CEE-6BC658E2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97F18"/>
    <w:pPr>
      <w:widowControl w:val="0"/>
      <w:autoSpaceDE w:val="0"/>
      <w:autoSpaceDN w:val="0"/>
      <w:adjustRightInd w:val="0"/>
      <w:spacing w:after="0" w:line="240" w:lineRule="auto"/>
    </w:pPr>
    <w:rPr>
      <w:rFonts w:ascii="Century Gothic" w:eastAsiaTheme="minorEastAsia" w:hAnsi="Century Gothic" w:cs="Century Gothic"/>
      <w:lang w:val="tr-TR" w:eastAsia="tr-TR"/>
    </w:rPr>
  </w:style>
  <w:style w:type="paragraph" w:styleId="Balk1">
    <w:name w:val="heading 1"/>
    <w:basedOn w:val="Normal"/>
    <w:next w:val="Normal"/>
    <w:link w:val="Balk1Char"/>
    <w:uiPriority w:val="1"/>
    <w:qFormat/>
    <w:rsid w:val="00297F18"/>
    <w:pPr>
      <w:ind w:left="145"/>
      <w:jc w:val="center"/>
      <w:outlineLvl w:val="0"/>
    </w:pPr>
    <w:rPr>
      <w:rFonts w:ascii="Tahoma" w:hAnsi="Tahoma" w:cs="Tahoma"/>
      <w:b/>
      <w:bCs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1"/>
    <w:qFormat/>
    <w:rsid w:val="00297F18"/>
    <w:pPr>
      <w:ind w:left="183"/>
      <w:outlineLvl w:val="1"/>
    </w:pPr>
    <w:rPr>
      <w:rFonts w:ascii="Tahoma" w:hAnsi="Tahoma" w:cs="Tahoma"/>
      <w:b/>
      <w:b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1"/>
    <w:qFormat/>
    <w:rsid w:val="00297F18"/>
    <w:pPr>
      <w:ind w:left="181"/>
      <w:outlineLvl w:val="2"/>
    </w:pPr>
    <w:rPr>
      <w:rFonts w:ascii="Tahoma" w:hAnsi="Tahoma" w:cs="Tahoma"/>
      <w:b/>
      <w:bCs/>
      <w:sz w:val="26"/>
      <w:szCs w:val="26"/>
    </w:rPr>
  </w:style>
  <w:style w:type="paragraph" w:styleId="Balk4">
    <w:name w:val="heading 4"/>
    <w:basedOn w:val="Normal"/>
    <w:next w:val="Normal"/>
    <w:link w:val="Balk4Char"/>
    <w:uiPriority w:val="1"/>
    <w:qFormat/>
    <w:rsid w:val="00297F18"/>
    <w:pPr>
      <w:spacing w:before="391"/>
      <w:ind w:left="183"/>
      <w:outlineLvl w:val="3"/>
    </w:pPr>
    <w:rPr>
      <w:rFonts w:ascii="Tahoma" w:hAnsi="Tahoma" w:cs="Tahoma"/>
      <w:b/>
      <w:bCs/>
    </w:rPr>
  </w:style>
  <w:style w:type="paragraph" w:styleId="Balk5">
    <w:name w:val="heading 5"/>
    <w:basedOn w:val="Normal"/>
    <w:next w:val="Normal"/>
    <w:link w:val="Balk5Char"/>
    <w:uiPriority w:val="1"/>
    <w:qFormat/>
    <w:rsid w:val="00297F18"/>
    <w:pPr>
      <w:spacing w:before="193"/>
      <w:ind w:left="181"/>
      <w:outlineLvl w:val="4"/>
    </w:pPr>
    <w:rPr>
      <w:b/>
      <w:bCs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297F18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character" w:customStyle="1" w:styleId="Balk2Char">
    <w:name w:val="Başlık 2 Char"/>
    <w:basedOn w:val="VarsaylanParagrafYazTipi"/>
    <w:link w:val="Balk2"/>
    <w:uiPriority w:val="1"/>
    <w:rsid w:val="00297F18"/>
    <w:rPr>
      <w:rFonts w:ascii="Tahoma" w:eastAsiaTheme="minorEastAsia" w:hAnsi="Tahoma" w:cs="Tahoma"/>
      <w:b/>
      <w:bCs/>
      <w:sz w:val="28"/>
      <w:szCs w:val="28"/>
      <w:lang w:val="tr-TR" w:eastAsia="tr-TR"/>
    </w:rPr>
  </w:style>
  <w:style w:type="character" w:customStyle="1" w:styleId="Balk3Char">
    <w:name w:val="Başlık 3 Char"/>
    <w:basedOn w:val="VarsaylanParagrafYazTipi"/>
    <w:link w:val="Balk3"/>
    <w:uiPriority w:val="1"/>
    <w:rsid w:val="00297F18"/>
    <w:rPr>
      <w:rFonts w:ascii="Tahoma" w:eastAsiaTheme="minorEastAsia" w:hAnsi="Tahoma" w:cs="Tahoma"/>
      <w:b/>
      <w:bCs/>
      <w:sz w:val="26"/>
      <w:szCs w:val="26"/>
      <w:lang w:val="tr-TR" w:eastAsia="tr-TR"/>
    </w:rPr>
  </w:style>
  <w:style w:type="character" w:customStyle="1" w:styleId="Balk4Char">
    <w:name w:val="Başlık 4 Char"/>
    <w:basedOn w:val="VarsaylanParagrafYazTipi"/>
    <w:link w:val="Balk4"/>
    <w:uiPriority w:val="1"/>
    <w:rsid w:val="00297F18"/>
    <w:rPr>
      <w:rFonts w:ascii="Tahoma" w:eastAsiaTheme="minorEastAsia" w:hAnsi="Tahoma" w:cs="Tahoma"/>
      <w:b/>
      <w:bCs/>
      <w:lang w:val="tr-TR" w:eastAsia="tr-TR"/>
    </w:rPr>
  </w:style>
  <w:style w:type="character" w:customStyle="1" w:styleId="Balk5Char">
    <w:name w:val="Başlık 5 Char"/>
    <w:basedOn w:val="VarsaylanParagrafYazTipi"/>
    <w:link w:val="Balk5"/>
    <w:uiPriority w:val="1"/>
    <w:rsid w:val="00297F18"/>
    <w:rPr>
      <w:rFonts w:ascii="Century Gothic" w:eastAsiaTheme="minorEastAsia" w:hAnsi="Century Gothic" w:cs="Century Gothic"/>
      <w:b/>
      <w:bCs/>
      <w:i/>
      <w:iCs/>
      <w:lang w:val="tr-TR" w:eastAsia="tr-TR"/>
    </w:rPr>
  </w:style>
  <w:style w:type="paragraph" w:styleId="GvdeMetni">
    <w:name w:val="Body Text"/>
    <w:basedOn w:val="Normal"/>
    <w:link w:val="GvdeMetniChar"/>
    <w:uiPriority w:val="1"/>
    <w:qFormat/>
    <w:rsid w:val="00297F18"/>
  </w:style>
  <w:style w:type="character" w:customStyle="1" w:styleId="GvdeMetniChar">
    <w:name w:val="Gövde Metni Char"/>
    <w:basedOn w:val="VarsaylanParagrafYazTipi"/>
    <w:link w:val="GvdeMetni"/>
    <w:uiPriority w:val="1"/>
    <w:rsid w:val="00297F18"/>
    <w:rPr>
      <w:rFonts w:ascii="Century Gothic" w:eastAsiaTheme="minorEastAsia" w:hAnsi="Century Gothic" w:cs="Century Gothic"/>
      <w:lang w:val="tr-TR" w:eastAsia="tr-TR"/>
    </w:rPr>
  </w:style>
  <w:style w:type="paragraph" w:styleId="KonuBal">
    <w:name w:val="Title"/>
    <w:basedOn w:val="Normal"/>
    <w:next w:val="Normal"/>
    <w:link w:val="KonuBalChar"/>
    <w:uiPriority w:val="1"/>
    <w:qFormat/>
    <w:rsid w:val="00297F18"/>
    <w:pPr>
      <w:spacing w:line="1030" w:lineRule="exact"/>
      <w:ind w:left="103"/>
    </w:pPr>
    <w:rPr>
      <w:rFonts w:ascii="Tahoma" w:hAnsi="Tahoma" w:cs="Tahoma"/>
      <w:b/>
      <w:bCs/>
      <w:sz w:val="86"/>
      <w:szCs w:val="86"/>
    </w:rPr>
  </w:style>
  <w:style w:type="character" w:customStyle="1" w:styleId="KonuBalChar">
    <w:name w:val="Konu Başlığı Char"/>
    <w:basedOn w:val="VarsaylanParagrafYazTipi"/>
    <w:link w:val="KonuBal"/>
    <w:uiPriority w:val="1"/>
    <w:rsid w:val="00297F18"/>
    <w:rPr>
      <w:rFonts w:ascii="Tahoma" w:eastAsiaTheme="minorEastAsia" w:hAnsi="Tahoma" w:cs="Tahoma"/>
      <w:b/>
      <w:bCs/>
      <w:sz w:val="86"/>
      <w:szCs w:val="86"/>
      <w:lang w:val="tr-TR" w:eastAsia="tr-TR"/>
    </w:rPr>
  </w:style>
  <w:style w:type="paragraph" w:styleId="ListeParagraf">
    <w:name w:val="List Paragraph"/>
    <w:basedOn w:val="Normal"/>
    <w:uiPriority w:val="1"/>
    <w:qFormat/>
    <w:rsid w:val="00297F18"/>
    <w:pPr>
      <w:ind w:left="181" w:right="115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97F1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nder.unsal@ankarapaten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nsu.catma@ankarapatent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1768</Words>
  <Characters>10084</Characters>
  <Application>Microsoft Office Word</Application>
  <DocSecurity>0</DocSecurity>
  <Lines>84</Lines>
  <Paragraphs>23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Mine Akarsu</dc:creator>
  <cp:keywords/>
  <dc:description/>
  <cp:lastModifiedBy>Mine Akarsu</cp:lastModifiedBy>
  <cp:revision>1</cp:revision>
  <dcterms:created xsi:type="dcterms:W3CDTF">2024-02-15T09:42:00Z</dcterms:created>
  <dcterms:modified xsi:type="dcterms:W3CDTF">2024-02-15T09:47:00Z</dcterms:modified>
</cp:coreProperties>
</file>