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8FF" w:rsidRPr="00E63A88" w:rsidRDefault="00001732">
      <w:pPr>
        <w:pStyle w:val="GvdeMetni"/>
        <w:ind w:left="7692"/>
        <w:rPr>
          <w:rFonts w:ascii="Times New Roman"/>
          <w:sz w:val="18"/>
          <w:szCs w:val="18"/>
        </w:rPr>
      </w:pPr>
      <w:r w:rsidRPr="00E63A88">
        <w:rPr>
          <w:rFonts w:ascii="Times New Roman"/>
          <w:noProof/>
          <w:sz w:val="18"/>
          <w:szCs w:val="18"/>
          <w:lang w:eastAsia="tr-TR"/>
        </w:rPr>
        <w:drawing>
          <wp:inline distT="0" distB="0" distL="0" distR="0" wp14:anchorId="7F3FB28D" wp14:editId="49B1CDBF">
            <wp:extent cx="1148396" cy="81724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148396" cy="817245"/>
                    </a:xfrm>
                    <a:prstGeom prst="rect">
                      <a:avLst/>
                    </a:prstGeom>
                  </pic:spPr>
                </pic:pic>
              </a:graphicData>
            </a:graphic>
          </wp:inline>
        </w:drawing>
      </w:r>
    </w:p>
    <w:p w:rsidR="009228FF" w:rsidRPr="00E63A88" w:rsidRDefault="009228FF">
      <w:pPr>
        <w:pStyle w:val="GvdeMetni"/>
        <w:rPr>
          <w:rFonts w:ascii="Times New Roman"/>
          <w:sz w:val="18"/>
          <w:szCs w:val="18"/>
        </w:rPr>
      </w:pPr>
    </w:p>
    <w:p w:rsidR="009228FF" w:rsidRPr="00E63A88" w:rsidRDefault="009228FF">
      <w:pPr>
        <w:pStyle w:val="GvdeMetni"/>
        <w:spacing w:before="5"/>
        <w:rPr>
          <w:rFonts w:ascii="Times New Roman"/>
          <w:sz w:val="24"/>
          <w:szCs w:val="18"/>
        </w:rPr>
      </w:pPr>
    </w:p>
    <w:p w:rsidR="006A6598" w:rsidRPr="00E63A88" w:rsidRDefault="00001732">
      <w:pPr>
        <w:pStyle w:val="GvdeMetni"/>
        <w:spacing w:before="100" w:line="249" w:lineRule="auto"/>
        <w:ind w:left="399" w:right="5687"/>
        <w:rPr>
          <w:sz w:val="18"/>
          <w:szCs w:val="18"/>
        </w:rPr>
      </w:pPr>
      <w:r w:rsidRPr="00E63A88">
        <w:rPr>
          <w:sz w:val="18"/>
          <w:szCs w:val="18"/>
        </w:rPr>
        <w:t>2017 AIPPI (Uluslararası Fikri Mülkiyet Haklarını Ko</w:t>
      </w:r>
      <w:r w:rsidR="006A6598" w:rsidRPr="00E63A88">
        <w:rPr>
          <w:sz w:val="18"/>
          <w:szCs w:val="18"/>
        </w:rPr>
        <w:t>ruma Derneği) Dünya Kongresi- Sy</w:t>
      </w:r>
      <w:r w:rsidRPr="00E63A88">
        <w:rPr>
          <w:sz w:val="18"/>
          <w:szCs w:val="18"/>
        </w:rPr>
        <w:t xml:space="preserve">dney </w:t>
      </w:r>
    </w:p>
    <w:p w:rsidR="009228FF" w:rsidRPr="00E63A88" w:rsidRDefault="00001732">
      <w:pPr>
        <w:pStyle w:val="GvdeMetni"/>
        <w:spacing w:before="100" w:line="249" w:lineRule="auto"/>
        <w:ind w:left="399" w:right="5687"/>
        <w:rPr>
          <w:sz w:val="18"/>
          <w:szCs w:val="18"/>
        </w:rPr>
      </w:pPr>
      <w:r w:rsidRPr="00E63A88">
        <w:rPr>
          <w:sz w:val="18"/>
          <w:szCs w:val="18"/>
        </w:rPr>
        <w:t>Alınan Karar</w:t>
      </w:r>
    </w:p>
    <w:p w:rsidR="009228FF" w:rsidRPr="00E63A88" w:rsidRDefault="00001732">
      <w:pPr>
        <w:pStyle w:val="GvdeMetni"/>
        <w:spacing w:line="226" w:lineRule="exact"/>
        <w:ind w:left="399"/>
        <w:rPr>
          <w:sz w:val="18"/>
          <w:szCs w:val="18"/>
        </w:rPr>
      </w:pPr>
      <w:r w:rsidRPr="00E63A88">
        <w:rPr>
          <w:sz w:val="18"/>
          <w:szCs w:val="18"/>
        </w:rPr>
        <w:t>17 Ekim 2017</w:t>
      </w:r>
    </w:p>
    <w:p w:rsidR="009228FF" w:rsidRPr="00E63A88" w:rsidRDefault="009228FF">
      <w:pPr>
        <w:pStyle w:val="GvdeMetni"/>
        <w:rPr>
          <w:szCs w:val="18"/>
        </w:rPr>
      </w:pPr>
    </w:p>
    <w:p w:rsidR="009228FF" w:rsidRPr="00E63A88" w:rsidRDefault="009228FF">
      <w:pPr>
        <w:pStyle w:val="GvdeMetni"/>
        <w:rPr>
          <w:szCs w:val="18"/>
        </w:rPr>
      </w:pPr>
    </w:p>
    <w:p w:rsidR="009228FF" w:rsidRPr="00E63A88" w:rsidRDefault="009228FF">
      <w:pPr>
        <w:pStyle w:val="GvdeMetni"/>
        <w:rPr>
          <w:szCs w:val="18"/>
        </w:rPr>
      </w:pPr>
    </w:p>
    <w:p w:rsidR="009228FF" w:rsidRPr="00E63A88" w:rsidRDefault="009228FF">
      <w:pPr>
        <w:pStyle w:val="GvdeMetni"/>
        <w:spacing w:before="3"/>
        <w:rPr>
          <w:sz w:val="24"/>
          <w:szCs w:val="18"/>
        </w:rPr>
      </w:pPr>
    </w:p>
    <w:p w:rsidR="009228FF" w:rsidRPr="00E63A88" w:rsidRDefault="00001732">
      <w:pPr>
        <w:pStyle w:val="Balk1"/>
        <w:ind w:left="3860"/>
        <w:rPr>
          <w:sz w:val="18"/>
          <w:szCs w:val="18"/>
        </w:rPr>
      </w:pPr>
      <w:r w:rsidRPr="00E63A88">
        <w:rPr>
          <w:sz w:val="18"/>
          <w:szCs w:val="18"/>
        </w:rPr>
        <w:t>Karar</w:t>
      </w:r>
    </w:p>
    <w:p w:rsidR="009228FF" w:rsidRPr="00E63A88" w:rsidRDefault="00001732">
      <w:pPr>
        <w:spacing w:before="196" w:line="444" w:lineRule="auto"/>
        <w:ind w:left="1942" w:right="2675" w:firstLine="873"/>
        <w:rPr>
          <w:b/>
          <w:sz w:val="18"/>
          <w:szCs w:val="20"/>
        </w:rPr>
      </w:pPr>
      <w:r w:rsidRPr="00E63A88">
        <w:rPr>
          <w:b/>
          <w:sz w:val="18"/>
          <w:szCs w:val="20"/>
        </w:rPr>
        <w:t>2017 – Çalışma Sorusu (Patentler)</w:t>
      </w:r>
      <w:r w:rsidRPr="00E63A88">
        <w:rPr>
          <w:b/>
          <w:sz w:val="18"/>
          <w:szCs w:val="20"/>
        </w:rPr>
        <w:br/>
        <w:t>Bilgisayar uygulamalı buluşların patentlenebilirliği</w:t>
      </w:r>
    </w:p>
    <w:p w:rsidR="009228FF" w:rsidRPr="00E63A88" w:rsidRDefault="00BE02AE">
      <w:pPr>
        <w:pStyle w:val="GvdeMetni"/>
        <w:spacing w:before="8"/>
        <w:rPr>
          <w:b/>
          <w:sz w:val="13"/>
          <w:szCs w:val="18"/>
        </w:rPr>
      </w:pPr>
      <w:r>
        <w:rPr>
          <w:sz w:val="18"/>
          <w:szCs w:val="18"/>
        </w:rPr>
        <w:pict>
          <v:line id="4029" o:spid="_x0000_s1026" style="position:absolute;z-index:251657728;mso-wrap-distance-left:0;mso-wrap-distance-right:0;mso-position-horizontal-relative:page" from="105.95pt,11.35pt" to="497.25pt,11.35pt" strokeweight=".23025mm">
            <w10:wrap type="topAndBottom" anchorx="page"/>
          </v:line>
        </w:pict>
      </w:r>
    </w:p>
    <w:p w:rsidR="009228FF" w:rsidRPr="00E63A88" w:rsidRDefault="009228FF">
      <w:pPr>
        <w:pStyle w:val="GvdeMetni"/>
        <w:rPr>
          <w:b/>
          <w:sz w:val="18"/>
          <w:szCs w:val="18"/>
        </w:rPr>
      </w:pPr>
    </w:p>
    <w:p w:rsidR="009228FF" w:rsidRPr="00E63A88" w:rsidRDefault="009228FF">
      <w:pPr>
        <w:pStyle w:val="GvdeMetni"/>
        <w:spacing w:before="10"/>
        <w:rPr>
          <w:b/>
          <w:szCs w:val="18"/>
        </w:rPr>
      </w:pPr>
    </w:p>
    <w:p w:rsidR="009228FF" w:rsidRPr="00E63A88" w:rsidRDefault="00001732">
      <w:pPr>
        <w:spacing w:before="100"/>
        <w:ind w:left="399"/>
        <w:rPr>
          <w:b/>
          <w:sz w:val="18"/>
          <w:szCs w:val="20"/>
        </w:rPr>
      </w:pPr>
      <w:r w:rsidRPr="00E63A88">
        <w:rPr>
          <w:b/>
          <w:sz w:val="18"/>
          <w:szCs w:val="20"/>
        </w:rPr>
        <w:t>Ön Bilgi:</w:t>
      </w:r>
    </w:p>
    <w:p w:rsidR="009228FF" w:rsidRPr="00E63A88" w:rsidRDefault="00001732">
      <w:pPr>
        <w:pStyle w:val="ListeParagraf"/>
        <w:numPr>
          <w:ilvl w:val="0"/>
          <w:numId w:val="3"/>
        </w:numPr>
        <w:tabs>
          <w:tab w:val="left" w:pos="1075"/>
          <w:tab w:val="left" w:pos="1077"/>
        </w:tabs>
        <w:spacing w:before="193" w:line="288" w:lineRule="auto"/>
        <w:ind w:right="1552"/>
        <w:rPr>
          <w:rFonts w:ascii="Calibri"/>
          <w:color w:val="000000"/>
          <w:sz w:val="18"/>
          <w:szCs w:val="20"/>
        </w:rPr>
      </w:pPr>
      <w:r w:rsidRPr="00E63A88">
        <w:rPr>
          <w:sz w:val="18"/>
          <w:szCs w:val="20"/>
        </w:rPr>
        <w:t>İşbu Karar, bilgisayar uygulamalı buluşların (CII’lar) patentlenebilirliği konusu hakkındadır.</w:t>
      </w:r>
    </w:p>
    <w:p w:rsidR="009228FF" w:rsidRPr="00E63A88" w:rsidRDefault="00001732">
      <w:pPr>
        <w:pStyle w:val="ListeParagraf"/>
        <w:numPr>
          <w:ilvl w:val="0"/>
          <w:numId w:val="3"/>
        </w:numPr>
        <w:tabs>
          <w:tab w:val="left" w:pos="1075"/>
          <w:tab w:val="left" w:pos="1077"/>
        </w:tabs>
        <w:spacing w:before="183"/>
        <w:rPr>
          <w:color w:val="000000"/>
          <w:sz w:val="18"/>
          <w:szCs w:val="20"/>
        </w:rPr>
      </w:pPr>
      <w:r w:rsidRPr="00E63A88">
        <w:rPr>
          <w:sz w:val="18"/>
          <w:szCs w:val="20"/>
        </w:rPr>
        <w:t>Bu Kararın amacı doğrultusunda:</w:t>
      </w:r>
    </w:p>
    <w:p w:rsidR="009228FF" w:rsidRPr="00E63A88" w:rsidRDefault="009228FF">
      <w:pPr>
        <w:pStyle w:val="GvdeMetni"/>
        <w:spacing w:before="4"/>
        <w:rPr>
          <w:sz w:val="18"/>
          <w:szCs w:val="18"/>
        </w:rPr>
      </w:pPr>
    </w:p>
    <w:p w:rsidR="009228FF" w:rsidRPr="00E63A88" w:rsidRDefault="00001732">
      <w:pPr>
        <w:pStyle w:val="ListeParagraf"/>
        <w:numPr>
          <w:ilvl w:val="1"/>
          <w:numId w:val="3"/>
        </w:numPr>
        <w:tabs>
          <w:tab w:val="left" w:pos="1731"/>
          <w:tab w:val="left" w:pos="1732"/>
        </w:tabs>
        <w:spacing w:line="283" w:lineRule="auto"/>
        <w:ind w:right="1447" w:hanging="667"/>
        <w:rPr>
          <w:sz w:val="18"/>
          <w:szCs w:val="20"/>
        </w:rPr>
      </w:pPr>
      <w:r w:rsidRPr="00E63A88">
        <w:rPr>
          <w:sz w:val="18"/>
          <w:szCs w:val="20"/>
        </w:rPr>
        <w:t>CII kısaltması bilgisayar, bilgisayar ağı veya programlanabilir başka aygıtların kullanımını içeren, bir veya daha fazla özelliğin tamamen veya kısmen bir bilgisayar programı aracılığıyla gerçekleştirildiği ve/veya donanıma uygulandığı bir buluş anlamına gelmektedir;</w:t>
      </w:r>
    </w:p>
    <w:p w:rsidR="009228FF" w:rsidRPr="00E63A88" w:rsidRDefault="00001732">
      <w:pPr>
        <w:pStyle w:val="ListeParagraf"/>
        <w:numPr>
          <w:ilvl w:val="1"/>
          <w:numId w:val="3"/>
        </w:numPr>
        <w:tabs>
          <w:tab w:val="left" w:pos="1731"/>
          <w:tab w:val="left" w:pos="1732"/>
        </w:tabs>
        <w:spacing w:before="191" w:line="280" w:lineRule="auto"/>
        <w:ind w:right="1548" w:hanging="667"/>
        <w:rPr>
          <w:sz w:val="18"/>
          <w:szCs w:val="20"/>
        </w:rPr>
      </w:pPr>
      <w:r w:rsidRPr="00E63A88">
        <w:rPr>
          <w:sz w:val="18"/>
          <w:szCs w:val="20"/>
        </w:rPr>
        <w:t>CII’nın patentlenebilirliği kavramı, CII’nın uygun şekilde bir patent isteminin konusu olup olamayacağı sorusuna atıf yapmaktadır.</w:t>
      </w:r>
    </w:p>
    <w:p w:rsidR="009228FF" w:rsidRPr="00E63A88" w:rsidRDefault="00001732">
      <w:pPr>
        <w:pStyle w:val="ListeParagraf"/>
        <w:numPr>
          <w:ilvl w:val="0"/>
          <w:numId w:val="3"/>
        </w:numPr>
        <w:tabs>
          <w:tab w:val="left" w:pos="1075"/>
          <w:tab w:val="left" w:pos="1077"/>
        </w:tabs>
        <w:spacing w:before="194" w:line="285" w:lineRule="auto"/>
        <w:ind w:right="1307"/>
        <w:rPr>
          <w:color w:val="000000"/>
          <w:sz w:val="18"/>
          <w:szCs w:val="20"/>
        </w:rPr>
      </w:pPr>
      <w:r w:rsidRPr="00E63A88">
        <w:rPr>
          <w:sz w:val="18"/>
          <w:szCs w:val="20"/>
        </w:rPr>
        <w:t>CII’nın patentlenebilirliği, 1960’lardan itibaren pek çok ülkede hararetle tartışılmış olup ulusal/bölgesel yasa ve uygulamalar zaman içinde belirgin şekilde evrilmiştir. Ancak çeşitli uygulamaların gelişimi hiç de doğrusal bir çizgide ilerlememiştir. Aksine CII’ların patentlenebilirliği dinamik bir şekilde değişen dağınık bir zemindir. Bu durum patent sisteminin kullanıcıları ve uygulayıcılar arasında ileri derecede kafa karışıklığı ve yılgınlık yaratmıştır.</w:t>
      </w:r>
    </w:p>
    <w:p w:rsidR="009228FF" w:rsidRPr="00E63A88" w:rsidRDefault="00001732">
      <w:pPr>
        <w:pStyle w:val="ListeParagraf"/>
        <w:numPr>
          <w:ilvl w:val="0"/>
          <w:numId w:val="3"/>
        </w:numPr>
        <w:tabs>
          <w:tab w:val="left" w:pos="1075"/>
          <w:tab w:val="left" w:pos="1077"/>
        </w:tabs>
        <w:spacing w:before="190"/>
        <w:rPr>
          <w:color w:val="000000"/>
          <w:sz w:val="18"/>
          <w:szCs w:val="20"/>
        </w:rPr>
      </w:pPr>
      <w:r w:rsidRPr="00E63A88">
        <w:rPr>
          <w:sz w:val="18"/>
          <w:szCs w:val="20"/>
        </w:rPr>
        <w:t>Uygulamalar, CII’ların nasıl isimlendirileceği konusunda bile farklılık göstermektedir.</w:t>
      </w:r>
    </w:p>
    <w:p w:rsidR="009228FF" w:rsidRPr="00E63A88" w:rsidRDefault="009228FF">
      <w:pPr>
        <w:pStyle w:val="GvdeMetni"/>
        <w:rPr>
          <w:sz w:val="18"/>
          <w:szCs w:val="18"/>
        </w:rPr>
      </w:pPr>
    </w:p>
    <w:p w:rsidR="009228FF" w:rsidRPr="00E63A88" w:rsidRDefault="00001732">
      <w:pPr>
        <w:pStyle w:val="ListeParagraf"/>
        <w:numPr>
          <w:ilvl w:val="0"/>
          <w:numId w:val="3"/>
        </w:numPr>
        <w:tabs>
          <w:tab w:val="left" w:pos="1075"/>
          <w:tab w:val="left" w:pos="1077"/>
        </w:tabs>
        <w:spacing w:before="1" w:line="285" w:lineRule="auto"/>
        <w:ind w:right="1310"/>
        <w:rPr>
          <w:color w:val="000000"/>
          <w:sz w:val="18"/>
          <w:szCs w:val="20"/>
        </w:rPr>
      </w:pPr>
      <w:r w:rsidRPr="00E63A88">
        <w:rPr>
          <w:sz w:val="18"/>
          <w:szCs w:val="20"/>
        </w:rPr>
        <w:t>AIPPI, CII’ların patentlenebilirliği konusunda, özellikle “Bilgisayar yazılımlarının patentlenmesi” başlıklı Q133 (Viyana, 1997) ve “İş yöntemlerinin patentlenebilirliği” başlıklı Q158 (Melbourne, 2001) hakkındaki Kararlarda, daha önce tutumunu belli etmiştir. Genel olarak, bu Kararlar, istemde bulunulan buluşun herhangi bir spesifik insan çabasına veya teknoloji alanına katkı yapıp yapmadığına bakılmaksızın, herhangi bir bilgisayar yazılımının patent korumasına uygun olması gerektiği yönündeki bir tutumu temsil etmektedir.</w:t>
      </w:r>
    </w:p>
    <w:p w:rsidR="009228FF" w:rsidRPr="00E63A88" w:rsidRDefault="009228FF">
      <w:pPr>
        <w:spacing w:line="285" w:lineRule="auto"/>
        <w:rPr>
          <w:sz w:val="18"/>
          <w:szCs w:val="20"/>
        </w:rPr>
        <w:sectPr w:rsidR="009228FF" w:rsidRPr="00E63A88">
          <w:footerReference w:type="default" r:id="rId8"/>
          <w:type w:val="continuous"/>
          <w:pgSz w:w="12240" w:h="15840"/>
          <w:pgMar w:top="500" w:right="900" w:bottom="1140" w:left="1720" w:header="708" w:footer="948" w:gutter="0"/>
          <w:pgNumType w:start="1"/>
          <w:cols w:space="708"/>
        </w:sectPr>
      </w:pPr>
    </w:p>
    <w:p w:rsidR="009228FF" w:rsidRPr="00E63A88" w:rsidRDefault="00001732">
      <w:pPr>
        <w:pStyle w:val="ListeParagraf"/>
        <w:numPr>
          <w:ilvl w:val="0"/>
          <w:numId w:val="3"/>
        </w:numPr>
        <w:tabs>
          <w:tab w:val="left" w:pos="1073"/>
          <w:tab w:val="left" w:pos="1074"/>
        </w:tabs>
        <w:spacing w:before="103" w:line="285" w:lineRule="auto"/>
        <w:ind w:left="1073" w:right="629"/>
        <w:rPr>
          <w:color w:val="000000"/>
          <w:sz w:val="18"/>
          <w:szCs w:val="20"/>
        </w:rPr>
      </w:pPr>
      <w:r w:rsidRPr="00E63A88">
        <w:rPr>
          <w:sz w:val="18"/>
          <w:szCs w:val="20"/>
        </w:rPr>
        <w:lastRenderedPageBreak/>
        <w:t>AIPPI, ulusal/bölgesel yasaların uyumlaştırılmasını geliştirmek amacıyla tutumunu güncellemek istemektedir.</w:t>
      </w:r>
    </w:p>
    <w:p w:rsidR="009228FF" w:rsidRPr="00E63A88" w:rsidRDefault="00001732">
      <w:pPr>
        <w:pStyle w:val="ListeParagraf"/>
        <w:numPr>
          <w:ilvl w:val="0"/>
          <w:numId w:val="3"/>
        </w:numPr>
        <w:tabs>
          <w:tab w:val="left" w:pos="1073"/>
          <w:tab w:val="left" w:pos="1074"/>
        </w:tabs>
        <w:spacing w:before="191" w:line="285" w:lineRule="auto"/>
        <w:ind w:left="1073" w:right="557"/>
        <w:rPr>
          <w:color w:val="000000"/>
          <w:sz w:val="18"/>
          <w:szCs w:val="20"/>
        </w:rPr>
      </w:pPr>
      <w:r w:rsidRPr="00E63A88">
        <w:rPr>
          <w:sz w:val="18"/>
          <w:szCs w:val="20"/>
        </w:rPr>
        <w:t>AIPPI Ulusal ve Bölgesel Grupları ve Bağımsız Üyelerinden, bu Karara ilişkin ulusal ve bölgesel yasalarla ilgili ayrıntılı bilgi ve analizler sunan 44 adet Rapor alınmıştır. Bu Raporlar, AIPPI Genel Raportör Ekibi tarafından incelenmiş olup, bir Özet Rapor haline getirilmiştir (aşağıdaki bağlantılara bakınız). Bu Raporlar, uyumlaştırmanın arzu edilir olduğuna dair geniş bir mutabakatı bildirmektedir.</w:t>
      </w:r>
    </w:p>
    <w:p w:rsidR="009228FF" w:rsidRPr="00E63A88" w:rsidRDefault="00001732">
      <w:pPr>
        <w:pStyle w:val="ListeParagraf"/>
        <w:numPr>
          <w:ilvl w:val="0"/>
          <w:numId w:val="3"/>
        </w:numPr>
        <w:tabs>
          <w:tab w:val="left" w:pos="1073"/>
          <w:tab w:val="left" w:pos="1074"/>
        </w:tabs>
        <w:spacing w:before="191" w:line="285" w:lineRule="auto"/>
        <w:ind w:left="1073" w:right="490"/>
        <w:rPr>
          <w:color w:val="000000"/>
          <w:sz w:val="18"/>
          <w:szCs w:val="20"/>
        </w:rPr>
      </w:pPr>
      <w:r w:rsidRPr="00E63A88">
        <w:rPr>
          <w:sz w:val="18"/>
          <w:szCs w:val="20"/>
        </w:rPr>
        <w:t>Bu</w:t>
      </w:r>
      <w:r w:rsidR="008C2BD7" w:rsidRPr="00E63A88">
        <w:rPr>
          <w:sz w:val="18"/>
          <w:szCs w:val="20"/>
        </w:rPr>
        <w:t xml:space="preserve"> Kararın konusu, Ekim 2017'de Sy</w:t>
      </w:r>
      <w:r w:rsidRPr="00E63A88">
        <w:rPr>
          <w:sz w:val="18"/>
          <w:szCs w:val="20"/>
        </w:rPr>
        <w:t>dney’de yapılan AIPPI Dünya Kongresinde özel bir Çalışma Komitesi bünyesinde ve yine bir tam katılımlı Genel Oturumda daha detaylı olarak görüşülmüş ve akabinde AIPPI Yürütme Komitesi tarafından mevcut Karar alınmıştır.</w:t>
      </w:r>
    </w:p>
    <w:p w:rsidR="009228FF" w:rsidRPr="00E63A88" w:rsidRDefault="00001732">
      <w:pPr>
        <w:pStyle w:val="Balk1"/>
        <w:spacing w:before="191"/>
        <w:rPr>
          <w:sz w:val="18"/>
          <w:szCs w:val="18"/>
        </w:rPr>
      </w:pPr>
      <w:r w:rsidRPr="00E63A88">
        <w:rPr>
          <w:sz w:val="18"/>
          <w:szCs w:val="18"/>
        </w:rPr>
        <w:t>AIPPI aşağıdaki kararları almıştır:</w:t>
      </w:r>
    </w:p>
    <w:p w:rsidR="009228FF" w:rsidRPr="00E63A88" w:rsidRDefault="009228FF">
      <w:pPr>
        <w:pStyle w:val="GvdeMetni"/>
        <w:rPr>
          <w:b/>
          <w:sz w:val="18"/>
          <w:szCs w:val="18"/>
        </w:rPr>
      </w:pPr>
    </w:p>
    <w:p w:rsidR="009228FF" w:rsidRPr="00E63A88" w:rsidRDefault="00001732">
      <w:pPr>
        <w:pStyle w:val="ListeParagraf"/>
        <w:numPr>
          <w:ilvl w:val="0"/>
          <w:numId w:val="2"/>
        </w:numPr>
        <w:tabs>
          <w:tab w:val="left" w:pos="1073"/>
          <w:tab w:val="left" w:pos="1074"/>
        </w:tabs>
        <w:spacing w:before="1" w:line="285" w:lineRule="auto"/>
        <w:ind w:right="536"/>
        <w:rPr>
          <w:sz w:val="18"/>
          <w:szCs w:val="20"/>
        </w:rPr>
      </w:pPr>
      <w:r w:rsidRPr="00E63A88">
        <w:rPr>
          <w:sz w:val="18"/>
          <w:szCs w:val="20"/>
        </w:rPr>
        <w:t xml:space="preserve">Fikri Mülkiyetin Ticaretle Bağlantılı Yönleri hakkındaki Anlaşma’da (TRIPS) açıkça belirtilen ilkesel bir konu olarak ve hukuki, ekonomik ve uygulamaya ilişkin diğer nedenleri hesaba katarak, CII’lar </w:t>
      </w:r>
      <w:r w:rsidR="008C2BD7" w:rsidRPr="00E63A88">
        <w:rPr>
          <w:sz w:val="18"/>
          <w:szCs w:val="20"/>
        </w:rPr>
        <w:t>dâhil</w:t>
      </w:r>
      <w:r w:rsidRPr="00E63A88">
        <w:rPr>
          <w:sz w:val="18"/>
          <w:szCs w:val="20"/>
        </w:rPr>
        <w:t>, ayrım yapılmaksızın tüm teknoloji alanlarındaki buluşlar için paten</w:t>
      </w:r>
      <w:r w:rsidR="006E7EDE">
        <w:rPr>
          <w:sz w:val="18"/>
          <w:szCs w:val="20"/>
        </w:rPr>
        <w:t>t</w:t>
      </w:r>
      <w:r w:rsidRPr="00E63A88">
        <w:rPr>
          <w:sz w:val="18"/>
          <w:szCs w:val="20"/>
        </w:rPr>
        <w:t xml:space="preserve"> verilebilmeli ve patent haklarından yararlanılabilinmelidir.</w:t>
      </w:r>
    </w:p>
    <w:p w:rsidR="009228FF" w:rsidRPr="00E63A88" w:rsidRDefault="00001732">
      <w:pPr>
        <w:pStyle w:val="ListeParagraf"/>
        <w:numPr>
          <w:ilvl w:val="0"/>
          <w:numId w:val="2"/>
        </w:numPr>
        <w:tabs>
          <w:tab w:val="left" w:pos="1073"/>
          <w:tab w:val="left" w:pos="1074"/>
        </w:tabs>
        <w:spacing w:before="188" w:line="285" w:lineRule="auto"/>
        <w:ind w:right="1054"/>
        <w:rPr>
          <w:sz w:val="18"/>
          <w:szCs w:val="20"/>
        </w:rPr>
      </w:pPr>
      <w:r w:rsidRPr="00E63A88">
        <w:rPr>
          <w:sz w:val="18"/>
          <w:szCs w:val="20"/>
        </w:rPr>
        <w:t xml:space="preserve">Bilgisayar programları </w:t>
      </w:r>
      <w:r w:rsidR="008C2BD7" w:rsidRPr="00E63A88">
        <w:rPr>
          <w:sz w:val="18"/>
          <w:szCs w:val="20"/>
        </w:rPr>
        <w:t>dâhil</w:t>
      </w:r>
      <w:r w:rsidRPr="00E63A88">
        <w:rPr>
          <w:sz w:val="18"/>
          <w:szCs w:val="20"/>
        </w:rPr>
        <w:t xml:space="preserve"> CII’ların patentlenebilirliği konusunda hiçbir genel istisna olmamalıdır.</w:t>
      </w:r>
    </w:p>
    <w:p w:rsidR="009228FF" w:rsidRPr="00E63A88" w:rsidRDefault="00001732">
      <w:pPr>
        <w:pStyle w:val="ListeParagraf"/>
        <w:numPr>
          <w:ilvl w:val="0"/>
          <w:numId w:val="2"/>
        </w:numPr>
        <w:tabs>
          <w:tab w:val="left" w:pos="1073"/>
          <w:tab w:val="left" w:pos="1074"/>
        </w:tabs>
        <w:spacing w:before="188" w:line="285" w:lineRule="auto"/>
        <w:ind w:right="557"/>
        <w:rPr>
          <w:sz w:val="18"/>
          <w:szCs w:val="20"/>
        </w:rPr>
      </w:pPr>
      <w:r w:rsidRPr="00E63A88">
        <w:rPr>
          <w:sz w:val="18"/>
          <w:szCs w:val="20"/>
        </w:rPr>
        <w:t>En az bir teknoloji alanında bir buluşu tanımladığı takdirde, bir CII için yapılan bir istem patent korumasına uygun görülmelidir. Bir CII’ya yönelik patent istemi, diğer buluş türlerine uygulanan aynı kriterler kullanılarak incelenmelidir.</w:t>
      </w:r>
    </w:p>
    <w:p w:rsidR="009228FF" w:rsidRPr="00E63A88" w:rsidRDefault="00001732">
      <w:pPr>
        <w:pStyle w:val="ListeParagraf"/>
        <w:numPr>
          <w:ilvl w:val="0"/>
          <w:numId w:val="2"/>
        </w:numPr>
        <w:tabs>
          <w:tab w:val="left" w:pos="1073"/>
          <w:tab w:val="left" w:pos="1074"/>
        </w:tabs>
        <w:spacing w:before="188" w:line="285" w:lineRule="auto"/>
        <w:ind w:right="499"/>
        <w:rPr>
          <w:sz w:val="18"/>
          <w:szCs w:val="20"/>
        </w:rPr>
      </w:pPr>
      <w:r w:rsidRPr="00E63A88">
        <w:rPr>
          <w:sz w:val="18"/>
          <w:szCs w:val="20"/>
        </w:rPr>
        <w:t>Bir CII’nın patent korumasına uygunluğu, tekniğin bilinen durumuna veya herhangi bir yenilik veya buluş aşaması değerlendirmesine bağlı olmamalıdır.</w:t>
      </w:r>
    </w:p>
    <w:p w:rsidR="009228FF" w:rsidRPr="00E63A88" w:rsidRDefault="00001732">
      <w:pPr>
        <w:pStyle w:val="ListeParagraf"/>
        <w:numPr>
          <w:ilvl w:val="0"/>
          <w:numId w:val="2"/>
        </w:numPr>
        <w:tabs>
          <w:tab w:val="left" w:pos="1073"/>
          <w:tab w:val="left" w:pos="1074"/>
        </w:tabs>
        <w:spacing w:before="190" w:line="283" w:lineRule="auto"/>
        <w:ind w:right="411"/>
        <w:rPr>
          <w:sz w:val="18"/>
          <w:szCs w:val="20"/>
        </w:rPr>
      </w:pPr>
      <w:r w:rsidRPr="00E63A88">
        <w:rPr>
          <w:sz w:val="18"/>
          <w:szCs w:val="20"/>
        </w:rPr>
        <w:t>Bir CII’ya yönelik bir veya daha fazla istemin en az bir teknoloji alanında bir buluşu tanımlayıp tanımlamadığına ilişkin inceleme dahil değerlendirme, her istem için ayrıca ve her bir istemle ilgili bir bütün olarak yapılmalıdır.</w:t>
      </w:r>
    </w:p>
    <w:p w:rsidR="009228FF" w:rsidRPr="00E63A88" w:rsidRDefault="00001732">
      <w:pPr>
        <w:pStyle w:val="ListeParagraf"/>
        <w:numPr>
          <w:ilvl w:val="0"/>
          <w:numId w:val="2"/>
        </w:numPr>
        <w:tabs>
          <w:tab w:val="left" w:pos="1073"/>
          <w:tab w:val="left" w:pos="1074"/>
        </w:tabs>
        <w:spacing w:before="192"/>
        <w:rPr>
          <w:sz w:val="18"/>
          <w:szCs w:val="20"/>
        </w:rPr>
      </w:pPr>
      <w:bookmarkStart w:id="0" w:name="_GoBack"/>
      <w:r w:rsidRPr="00E63A88">
        <w:rPr>
          <w:sz w:val="18"/>
          <w:szCs w:val="20"/>
        </w:rPr>
        <w:t>Bir CII’ya yönelik istem, diğerlerinin yanı sıra aşağıdakilere yönelik olabilir:</w:t>
      </w:r>
    </w:p>
    <w:p w:rsidR="009228FF" w:rsidRPr="00E63A88" w:rsidRDefault="009228FF">
      <w:pPr>
        <w:pStyle w:val="GvdeMetni"/>
        <w:spacing w:before="2"/>
        <w:rPr>
          <w:sz w:val="18"/>
          <w:szCs w:val="18"/>
        </w:rPr>
      </w:pPr>
    </w:p>
    <w:p w:rsidR="009228FF" w:rsidRPr="00E63A88" w:rsidRDefault="00001732">
      <w:pPr>
        <w:pStyle w:val="ListeParagraf"/>
        <w:numPr>
          <w:ilvl w:val="1"/>
          <w:numId w:val="2"/>
        </w:numPr>
        <w:tabs>
          <w:tab w:val="left" w:pos="1599"/>
          <w:tab w:val="left" w:pos="1600"/>
        </w:tabs>
        <w:ind w:hanging="535"/>
        <w:rPr>
          <w:sz w:val="18"/>
          <w:szCs w:val="20"/>
        </w:rPr>
      </w:pPr>
      <w:r w:rsidRPr="00E63A88">
        <w:rPr>
          <w:sz w:val="18"/>
          <w:szCs w:val="20"/>
        </w:rPr>
        <w:t>bir sistem veya aygıt;</w:t>
      </w:r>
    </w:p>
    <w:p w:rsidR="009228FF" w:rsidRPr="00E63A88" w:rsidRDefault="009228FF">
      <w:pPr>
        <w:pStyle w:val="GvdeMetni"/>
        <w:spacing w:before="9"/>
        <w:rPr>
          <w:sz w:val="18"/>
          <w:szCs w:val="18"/>
        </w:rPr>
      </w:pPr>
    </w:p>
    <w:p w:rsidR="009228FF" w:rsidRPr="00E63A88" w:rsidRDefault="00001732">
      <w:pPr>
        <w:pStyle w:val="ListeParagraf"/>
        <w:numPr>
          <w:ilvl w:val="1"/>
          <w:numId w:val="2"/>
        </w:numPr>
        <w:tabs>
          <w:tab w:val="left" w:pos="1599"/>
          <w:tab w:val="left" w:pos="1600"/>
        </w:tabs>
        <w:ind w:hanging="535"/>
        <w:rPr>
          <w:sz w:val="18"/>
          <w:szCs w:val="20"/>
        </w:rPr>
      </w:pPr>
      <w:r w:rsidRPr="00E63A88">
        <w:rPr>
          <w:sz w:val="18"/>
          <w:szCs w:val="20"/>
        </w:rPr>
        <w:t>en az bir işlemci tarafından yürütülen bir yöntem veya proses;</w:t>
      </w:r>
    </w:p>
    <w:p w:rsidR="009228FF" w:rsidRPr="00E63A88" w:rsidRDefault="009228FF">
      <w:pPr>
        <w:pStyle w:val="GvdeMetni"/>
        <w:spacing w:before="2"/>
        <w:rPr>
          <w:sz w:val="18"/>
          <w:szCs w:val="18"/>
        </w:rPr>
      </w:pPr>
    </w:p>
    <w:p w:rsidR="009228FF" w:rsidRPr="00E63A88" w:rsidRDefault="00001732">
      <w:pPr>
        <w:pStyle w:val="ListeParagraf"/>
        <w:numPr>
          <w:ilvl w:val="1"/>
          <w:numId w:val="2"/>
        </w:numPr>
        <w:tabs>
          <w:tab w:val="left" w:pos="1599"/>
          <w:tab w:val="left" w:pos="1600"/>
        </w:tabs>
        <w:spacing w:before="1" w:line="285" w:lineRule="auto"/>
        <w:ind w:right="520" w:hanging="535"/>
        <w:rPr>
          <w:sz w:val="18"/>
          <w:szCs w:val="20"/>
        </w:rPr>
      </w:pPr>
      <w:r w:rsidRPr="00E63A88">
        <w:rPr>
          <w:sz w:val="18"/>
          <w:szCs w:val="20"/>
        </w:rPr>
        <w:t>ister en az bir depolama ortamında veya en az bir sinyal veya veri taşıyıcısı biçiminde depolanmış olsun, isterse bir bilgisayar programı biçiminde veya başka biçimde olsun, bir yöntem veya prosesin adımlarını yürütmek için en az bir işlemci tarafından yürütülebilen veya yorumlanabilen talimatlar veya</w:t>
      </w:r>
    </w:p>
    <w:p w:rsidR="009228FF" w:rsidRPr="00E63A88" w:rsidRDefault="00001732">
      <w:pPr>
        <w:pStyle w:val="ListeParagraf"/>
        <w:numPr>
          <w:ilvl w:val="1"/>
          <w:numId w:val="2"/>
        </w:numPr>
        <w:tabs>
          <w:tab w:val="left" w:pos="1599"/>
          <w:tab w:val="left" w:pos="1600"/>
        </w:tabs>
        <w:spacing w:before="191" w:line="285" w:lineRule="auto"/>
        <w:ind w:right="738" w:hanging="535"/>
        <w:rPr>
          <w:sz w:val="18"/>
          <w:szCs w:val="20"/>
        </w:rPr>
      </w:pPr>
      <w:r w:rsidRPr="00E63A88">
        <w:rPr>
          <w:sz w:val="18"/>
          <w:szCs w:val="20"/>
        </w:rPr>
        <w:t>ister bir depolama ortamında veya en az bir sinyal veya veri taşıyıcısı biçiminde depolanmış olsun, bilgisayar uygulamalı bir yöntem veya proses tarafından oluşturulan bir veri yapısı.</w:t>
      </w:r>
    </w:p>
    <w:bookmarkEnd w:id="0"/>
    <w:p w:rsidR="009228FF" w:rsidRPr="00E63A88" w:rsidRDefault="009228FF">
      <w:pPr>
        <w:spacing w:line="285" w:lineRule="auto"/>
        <w:rPr>
          <w:sz w:val="18"/>
          <w:szCs w:val="20"/>
        </w:rPr>
        <w:sectPr w:rsidR="009228FF" w:rsidRPr="00E63A88">
          <w:pgSz w:w="12240" w:h="15840"/>
          <w:pgMar w:top="1500" w:right="1720" w:bottom="1140" w:left="1720" w:header="0" w:footer="948" w:gutter="0"/>
          <w:cols w:space="708"/>
        </w:sectPr>
      </w:pPr>
    </w:p>
    <w:p w:rsidR="009228FF" w:rsidRPr="00E63A88" w:rsidRDefault="00001732">
      <w:pPr>
        <w:pStyle w:val="Balk1"/>
        <w:spacing w:before="103"/>
        <w:rPr>
          <w:sz w:val="18"/>
          <w:szCs w:val="18"/>
        </w:rPr>
      </w:pPr>
      <w:r w:rsidRPr="00E63A88">
        <w:rPr>
          <w:sz w:val="18"/>
          <w:szCs w:val="18"/>
        </w:rPr>
        <w:lastRenderedPageBreak/>
        <w:t>Linkler</w:t>
      </w:r>
    </w:p>
    <w:p w:rsidR="009228FF" w:rsidRPr="00E63A88" w:rsidRDefault="009228FF">
      <w:pPr>
        <w:pStyle w:val="GvdeMetni"/>
        <w:spacing w:before="4"/>
        <w:rPr>
          <w:b/>
          <w:sz w:val="18"/>
          <w:szCs w:val="18"/>
        </w:rPr>
      </w:pPr>
    </w:p>
    <w:p w:rsidR="009228FF" w:rsidRPr="00E63A88" w:rsidRDefault="00001732">
      <w:pPr>
        <w:pStyle w:val="ListeParagraf"/>
        <w:numPr>
          <w:ilvl w:val="0"/>
          <w:numId w:val="1"/>
        </w:numPr>
        <w:tabs>
          <w:tab w:val="left" w:pos="1063"/>
          <w:tab w:val="left" w:pos="1064"/>
        </w:tabs>
        <w:spacing w:line="278" w:lineRule="auto"/>
        <w:ind w:right="661"/>
        <w:rPr>
          <w:sz w:val="18"/>
          <w:szCs w:val="20"/>
        </w:rPr>
      </w:pPr>
      <w:r w:rsidRPr="00E63A88">
        <w:rPr>
          <w:sz w:val="18"/>
          <w:szCs w:val="20"/>
        </w:rPr>
        <w:t>Çalışma Kılavuz İlkeleri</w:t>
      </w:r>
      <w:r w:rsidRPr="00E63A88">
        <w:rPr>
          <w:color w:val="0562C1"/>
          <w:sz w:val="18"/>
          <w:szCs w:val="20"/>
        </w:rPr>
        <w:t xml:space="preserve"> </w:t>
      </w:r>
      <w:hyperlink r:id="rId9">
        <w:r w:rsidRPr="00E63A88">
          <w:rPr>
            <w:color w:val="0562C1"/>
            <w:sz w:val="18"/>
            <w:szCs w:val="20"/>
            <w:u w:val="single" w:color="0562C1"/>
          </w:rPr>
          <w:t>http://aippi.org/wp-content/uploads/2017/01/FINAL-website-</w:t>
        </w:r>
      </w:hyperlink>
      <w:r w:rsidRPr="00E63A88">
        <w:rPr>
          <w:color w:val="0562C1"/>
          <w:sz w:val="18"/>
          <w:szCs w:val="20"/>
          <w:u w:val="single" w:color="0562C1"/>
        </w:rPr>
        <w:t xml:space="preserve"> version-Patentability-of-CII.pdf</w:t>
      </w:r>
    </w:p>
    <w:p w:rsidR="009228FF" w:rsidRPr="00E63A88" w:rsidRDefault="009228FF">
      <w:pPr>
        <w:pStyle w:val="GvdeMetni"/>
        <w:spacing w:before="2"/>
        <w:rPr>
          <w:sz w:val="16"/>
          <w:szCs w:val="18"/>
        </w:rPr>
      </w:pPr>
    </w:p>
    <w:p w:rsidR="009228FF" w:rsidRPr="00E63A88" w:rsidRDefault="00001732">
      <w:pPr>
        <w:pStyle w:val="ListeParagraf"/>
        <w:numPr>
          <w:ilvl w:val="0"/>
          <w:numId w:val="1"/>
        </w:numPr>
        <w:tabs>
          <w:tab w:val="left" w:pos="1063"/>
          <w:tab w:val="left" w:pos="1064"/>
        </w:tabs>
        <w:spacing w:line="280" w:lineRule="auto"/>
        <w:ind w:right="1079"/>
        <w:rPr>
          <w:sz w:val="18"/>
          <w:szCs w:val="20"/>
        </w:rPr>
      </w:pPr>
      <w:r w:rsidRPr="00E63A88">
        <w:rPr>
          <w:sz w:val="18"/>
          <w:szCs w:val="20"/>
        </w:rPr>
        <w:t>Özet Rapor</w:t>
      </w:r>
      <w:r w:rsidRPr="00E63A88">
        <w:rPr>
          <w:color w:val="0562C1"/>
          <w:sz w:val="18"/>
          <w:szCs w:val="20"/>
        </w:rPr>
        <w:t xml:space="preserve"> </w:t>
      </w:r>
      <w:hyperlink r:id="rId10">
        <w:r w:rsidRPr="00E63A88">
          <w:rPr>
            <w:color w:val="0562C1"/>
            <w:sz w:val="18"/>
            <w:szCs w:val="20"/>
            <w:u w:val="single" w:color="0562C1"/>
          </w:rPr>
          <w:t>http://aippi.org/wp-content/uploads/2017/08/Summary-</w:t>
        </w:r>
      </w:hyperlink>
      <w:r w:rsidRPr="00E63A88">
        <w:rPr>
          <w:color w:val="0562C1"/>
          <w:sz w:val="18"/>
          <w:szCs w:val="20"/>
          <w:u w:val="single" w:color="0562C1"/>
        </w:rPr>
        <w:t xml:space="preserve"> Report_Patents_CII_160817_final.pdf</w:t>
      </w:r>
    </w:p>
    <w:p w:rsidR="009228FF" w:rsidRPr="00E63A88" w:rsidRDefault="00001732">
      <w:pPr>
        <w:pStyle w:val="ListeParagraf"/>
        <w:numPr>
          <w:ilvl w:val="0"/>
          <w:numId w:val="1"/>
        </w:numPr>
        <w:tabs>
          <w:tab w:val="left" w:pos="1063"/>
          <w:tab w:val="left" w:pos="1064"/>
        </w:tabs>
        <w:spacing w:before="193" w:line="280" w:lineRule="auto"/>
        <w:ind w:right="720"/>
        <w:rPr>
          <w:sz w:val="18"/>
          <w:szCs w:val="20"/>
        </w:rPr>
      </w:pPr>
      <w:r w:rsidRPr="00E63A88">
        <w:rPr>
          <w:sz w:val="18"/>
          <w:szCs w:val="20"/>
        </w:rPr>
        <w:t xml:space="preserve">Ulusal ve Bölgesel Grupların ve Bağımsız Üyelerin Raporları </w:t>
      </w:r>
      <w:hyperlink r:id="rId11">
        <w:r w:rsidRPr="00E63A88">
          <w:rPr>
            <w:color w:val="0562C1"/>
            <w:sz w:val="18"/>
            <w:szCs w:val="20"/>
            <w:u w:val="single" w:color="0562C1"/>
          </w:rPr>
          <w:t>http://aippi.org/committee/patentabililty-of-computer-implemented-inventions/</w:t>
        </w:r>
      </w:hyperlink>
    </w:p>
    <w:sectPr w:rsidR="009228FF" w:rsidRPr="00E63A88">
      <w:pgSz w:w="12240" w:h="15840"/>
      <w:pgMar w:top="1500" w:right="1720" w:bottom="1140" w:left="1720" w:header="0" w:footer="9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2AE" w:rsidRDefault="00BE02AE">
      <w:r>
        <w:separator/>
      </w:r>
    </w:p>
  </w:endnote>
  <w:endnote w:type="continuationSeparator" w:id="0">
    <w:p w:rsidR="00BE02AE" w:rsidRDefault="00BE0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FF" w:rsidRDefault="00BE02AE">
    <w:pPr>
      <w:pStyle w:val="GvdeMetni"/>
      <w:spacing w:line="14" w:lineRule="auto"/>
    </w:pPr>
    <w:r>
      <w:pict>
        <v:shapetype id="_x0000_t202" coordsize="21600,21600" o:spt="202" path="m,l,21600r21600,l21600,xe">
          <v:stroke joinstyle="miter"/>
          <v:path gradientshapeok="t" o:connecttype="rect"/>
        </v:shapetype>
        <v:shape id="1130" o:spid="_x0000_s2049" type="#_x0000_t202" style="position:absolute;margin-left:317.45pt;margin-top:733.5pt;width:9.8pt;height:13.75pt;z-index:-251658752;mso-position-horizontal-relative:page;mso-position-vertical-relative:page" filled="f" stroked="f">
          <v:textbox inset="0,0,0,0">
            <w:txbxContent>
              <w:p w:rsidR="009228FF" w:rsidRDefault="00001732">
                <w:pPr>
                  <w:pStyle w:val="GvdeMetni"/>
                  <w:spacing w:before="22"/>
                  <w:ind w:left="40"/>
                </w:pPr>
                <w:r>
                  <w:fldChar w:fldCharType="begin"/>
                </w:r>
                <w:r>
                  <w:instrText xml:space="preserve"> PAGE </w:instrText>
                </w:r>
                <w:r>
                  <w:fldChar w:fldCharType="separate"/>
                </w:r>
                <w:r w:rsidR="006E7EDE">
                  <w:rPr>
                    <w:noProof/>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2AE" w:rsidRDefault="00BE02AE">
      <w:r>
        <w:separator/>
      </w:r>
    </w:p>
  </w:footnote>
  <w:footnote w:type="continuationSeparator" w:id="0">
    <w:p w:rsidR="00BE02AE" w:rsidRDefault="00BE0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87F5B"/>
    <w:multiLevelType w:val="hybridMultilevel"/>
    <w:tmpl w:val="33CA1E6C"/>
    <w:lvl w:ilvl="0" w:tplc="9D1220D0">
      <w:start w:val="1"/>
      <w:numFmt w:val="decimal"/>
      <w:lvlText w:val="%1)"/>
      <w:lvlJc w:val="left"/>
      <w:pPr>
        <w:ind w:left="1073" w:hanging="677"/>
        <w:jc w:val="left"/>
      </w:pPr>
      <w:rPr>
        <w:rFonts w:ascii="Arial" w:eastAsia="Arial" w:hAnsi="Arial" w:cs="Arial" w:hint="default"/>
        <w:w w:val="103"/>
        <w:sz w:val="20"/>
        <w:szCs w:val="20"/>
      </w:rPr>
    </w:lvl>
    <w:lvl w:ilvl="1" w:tplc="4016E0B0">
      <w:start w:val="1"/>
      <w:numFmt w:val="lowerLetter"/>
      <w:lvlText w:val="%2)"/>
      <w:lvlJc w:val="left"/>
      <w:pPr>
        <w:ind w:left="1599" w:hanging="536"/>
        <w:jc w:val="left"/>
      </w:pPr>
      <w:rPr>
        <w:rFonts w:ascii="Arial" w:eastAsia="Arial" w:hAnsi="Arial" w:cs="Arial" w:hint="default"/>
        <w:w w:val="103"/>
        <w:sz w:val="20"/>
        <w:szCs w:val="20"/>
      </w:rPr>
    </w:lvl>
    <w:lvl w:ilvl="2" w:tplc="708C493C">
      <w:numFmt w:val="bullet"/>
      <w:lvlText w:val="•"/>
      <w:lvlJc w:val="left"/>
      <w:pPr>
        <w:ind w:left="2400" w:hanging="536"/>
      </w:pPr>
      <w:rPr>
        <w:rFonts w:hint="default"/>
      </w:rPr>
    </w:lvl>
    <w:lvl w:ilvl="3" w:tplc="0A3AD00A">
      <w:numFmt w:val="bullet"/>
      <w:lvlText w:val="•"/>
      <w:lvlJc w:val="left"/>
      <w:pPr>
        <w:ind w:left="3200" w:hanging="536"/>
      </w:pPr>
      <w:rPr>
        <w:rFonts w:hint="default"/>
      </w:rPr>
    </w:lvl>
    <w:lvl w:ilvl="4" w:tplc="94EEF73C">
      <w:numFmt w:val="bullet"/>
      <w:lvlText w:val="•"/>
      <w:lvlJc w:val="left"/>
      <w:pPr>
        <w:ind w:left="4000" w:hanging="536"/>
      </w:pPr>
      <w:rPr>
        <w:rFonts w:hint="default"/>
      </w:rPr>
    </w:lvl>
    <w:lvl w:ilvl="5" w:tplc="725A5072">
      <w:numFmt w:val="bullet"/>
      <w:lvlText w:val="•"/>
      <w:lvlJc w:val="left"/>
      <w:pPr>
        <w:ind w:left="4800" w:hanging="536"/>
      </w:pPr>
      <w:rPr>
        <w:rFonts w:hint="default"/>
      </w:rPr>
    </w:lvl>
    <w:lvl w:ilvl="6" w:tplc="A6A4809C">
      <w:numFmt w:val="bullet"/>
      <w:lvlText w:val="•"/>
      <w:lvlJc w:val="left"/>
      <w:pPr>
        <w:ind w:left="5600" w:hanging="536"/>
      </w:pPr>
      <w:rPr>
        <w:rFonts w:hint="default"/>
      </w:rPr>
    </w:lvl>
    <w:lvl w:ilvl="7" w:tplc="4CF61342">
      <w:numFmt w:val="bullet"/>
      <w:lvlText w:val="•"/>
      <w:lvlJc w:val="left"/>
      <w:pPr>
        <w:ind w:left="6400" w:hanging="536"/>
      </w:pPr>
      <w:rPr>
        <w:rFonts w:hint="default"/>
      </w:rPr>
    </w:lvl>
    <w:lvl w:ilvl="8" w:tplc="1374AA4C">
      <w:numFmt w:val="bullet"/>
      <w:lvlText w:val="•"/>
      <w:lvlJc w:val="left"/>
      <w:pPr>
        <w:ind w:left="7200" w:hanging="536"/>
      </w:pPr>
      <w:rPr>
        <w:rFonts w:hint="default"/>
      </w:rPr>
    </w:lvl>
  </w:abstractNum>
  <w:abstractNum w:abstractNumId="1" w15:restartNumberingAfterBreak="0">
    <w:nsid w:val="416327F1"/>
    <w:multiLevelType w:val="hybridMultilevel"/>
    <w:tmpl w:val="E830013C"/>
    <w:lvl w:ilvl="0" w:tplc="AD7E6C80">
      <w:numFmt w:val="bullet"/>
      <w:lvlText w:val=""/>
      <w:lvlJc w:val="left"/>
      <w:pPr>
        <w:ind w:left="1064" w:hanging="668"/>
      </w:pPr>
      <w:rPr>
        <w:rFonts w:ascii="Symbol" w:eastAsia="Symbol" w:hAnsi="Symbol" w:cs="Symbol" w:hint="default"/>
        <w:w w:val="103"/>
        <w:sz w:val="20"/>
        <w:szCs w:val="20"/>
      </w:rPr>
    </w:lvl>
    <w:lvl w:ilvl="1" w:tplc="FBCEBD3A">
      <w:numFmt w:val="bullet"/>
      <w:lvlText w:val="•"/>
      <w:lvlJc w:val="left"/>
      <w:pPr>
        <w:ind w:left="1834" w:hanging="668"/>
      </w:pPr>
      <w:rPr>
        <w:rFonts w:hint="default"/>
      </w:rPr>
    </w:lvl>
    <w:lvl w:ilvl="2" w:tplc="C8F0490A">
      <w:numFmt w:val="bullet"/>
      <w:lvlText w:val="•"/>
      <w:lvlJc w:val="left"/>
      <w:pPr>
        <w:ind w:left="2608" w:hanging="668"/>
      </w:pPr>
      <w:rPr>
        <w:rFonts w:hint="default"/>
      </w:rPr>
    </w:lvl>
    <w:lvl w:ilvl="3" w:tplc="6EAC16DC">
      <w:numFmt w:val="bullet"/>
      <w:lvlText w:val="•"/>
      <w:lvlJc w:val="left"/>
      <w:pPr>
        <w:ind w:left="3382" w:hanging="668"/>
      </w:pPr>
      <w:rPr>
        <w:rFonts w:hint="default"/>
      </w:rPr>
    </w:lvl>
    <w:lvl w:ilvl="4" w:tplc="6F860AF4">
      <w:numFmt w:val="bullet"/>
      <w:lvlText w:val="•"/>
      <w:lvlJc w:val="left"/>
      <w:pPr>
        <w:ind w:left="4156" w:hanging="668"/>
      </w:pPr>
      <w:rPr>
        <w:rFonts w:hint="default"/>
      </w:rPr>
    </w:lvl>
    <w:lvl w:ilvl="5" w:tplc="A6AEE6C8">
      <w:numFmt w:val="bullet"/>
      <w:lvlText w:val="•"/>
      <w:lvlJc w:val="left"/>
      <w:pPr>
        <w:ind w:left="4930" w:hanging="668"/>
      </w:pPr>
      <w:rPr>
        <w:rFonts w:hint="default"/>
      </w:rPr>
    </w:lvl>
    <w:lvl w:ilvl="6" w:tplc="13C6EC02">
      <w:numFmt w:val="bullet"/>
      <w:lvlText w:val="•"/>
      <w:lvlJc w:val="left"/>
      <w:pPr>
        <w:ind w:left="5704" w:hanging="668"/>
      </w:pPr>
      <w:rPr>
        <w:rFonts w:hint="default"/>
      </w:rPr>
    </w:lvl>
    <w:lvl w:ilvl="7" w:tplc="AD54F9B2">
      <w:numFmt w:val="bullet"/>
      <w:lvlText w:val="•"/>
      <w:lvlJc w:val="left"/>
      <w:pPr>
        <w:ind w:left="6478" w:hanging="668"/>
      </w:pPr>
      <w:rPr>
        <w:rFonts w:hint="default"/>
      </w:rPr>
    </w:lvl>
    <w:lvl w:ilvl="8" w:tplc="AD94B188">
      <w:numFmt w:val="bullet"/>
      <w:lvlText w:val="•"/>
      <w:lvlJc w:val="left"/>
      <w:pPr>
        <w:ind w:left="7252" w:hanging="668"/>
      </w:pPr>
      <w:rPr>
        <w:rFonts w:hint="default"/>
      </w:rPr>
    </w:lvl>
  </w:abstractNum>
  <w:abstractNum w:abstractNumId="2" w15:restartNumberingAfterBreak="0">
    <w:nsid w:val="5CF84F2D"/>
    <w:multiLevelType w:val="hybridMultilevel"/>
    <w:tmpl w:val="5E648618"/>
    <w:lvl w:ilvl="0" w:tplc="CCEE5256">
      <w:start w:val="1"/>
      <w:numFmt w:val="decimal"/>
      <w:lvlText w:val="%1)"/>
      <w:lvlJc w:val="left"/>
      <w:pPr>
        <w:ind w:left="1076" w:hanging="677"/>
        <w:jc w:val="left"/>
      </w:pPr>
      <w:rPr>
        <w:rFonts w:hint="default"/>
        <w:w w:val="103"/>
      </w:rPr>
    </w:lvl>
    <w:lvl w:ilvl="1" w:tplc="193A0B60">
      <w:numFmt w:val="bullet"/>
      <w:lvlText w:val=""/>
      <w:lvlJc w:val="left"/>
      <w:pPr>
        <w:ind w:left="1731" w:hanging="668"/>
      </w:pPr>
      <w:rPr>
        <w:rFonts w:ascii="Symbol" w:eastAsia="Symbol" w:hAnsi="Symbol" w:cs="Symbol" w:hint="default"/>
        <w:w w:val="103"/>
        <w:sz w:val="20"/>
        <w:szCs w:val="20"/>
      </w:rPr>
    </w:lvl>
    <w:lvl w:ilvl="2" w:tplc="A7CA5DBC">
      <w:numFmt w:val="bullet"/>
      <w:lvlText w:val="•"/>
      <w:lvlJc w:val="left"/>
      <w:pPr>
        <w:ind w:left="2615" w:hanging="668"/>
      </w:pPr>
      <w:rPr>
        <w:rFonts w:hint="default"/>
      </w:rPr>
    </w:lvl>
    <w:lvl w:ilvl="3" w:tplc="6B1A42BA">
      <w:numFmt w:val="bullet"/>
      <w:lvlText w:val="•"/>
      <w:lvlJc w:val="left"/>
      <w:pPr>
        <w:ind w:left="3491" w:hanging="668"/>
      </w:pPr>
      <w:rPr>
        <w:rFonts w:hint="default"/>
      </w:rPr>
    </w:lvl>
    <w:lvl w:ilvl="4" w:tplc="50C02CB2">
      <w:numFmt w:val="bullet"/>
      <w:lvlText w:val="•"/>
      <w:lvlJc w:val="left"/>
      <w:pPr>
        <w:ind w:left="4366" w:hanging="668"/>
      </w:pPr>
      <w:rPr>
        <w:rFonts w:hint="default"/>
      </w:rPr>
    </w:lvl>
    <w:lvl w:ilvl="5" w:tplc="15141442">
      <w:numFmt w:val="bullet"/>
      <w:lvlText w:val="•"/>
      <w:lvlJc w:val="left"/>
      <w:pPr>
        <w:ind w:left="5242" w:hanging="668"/>
      </w:pPr>
      <w:rPr>
        <w:rFonts w:hint="default"/>
      </w:rPr>
    </w:lvl>
    <w:lvl w:ilvl="6" w:tplc="6F6C0F9E">
      <w:numFmt w:val="bullet"/>
      <w:lvlText w:val="•"/>
      <w:lvlJc w:val="left"/>
      <w:pPr>
        <w:ind w:left="6117" w:hanging="668"/>
      </w:pPr>
      <w:rPr>
        <w:rFonts w:hint="default"/>
      </w:rPr>
    </w:lvl>
    <w:lvl w:ilvl="7" w:tplc="9500C184">
      <w:numFmt w:val="bullet"/>
      <w:lvlText w:val="•"/>
      <w:lvlJc w:val="left"/>
      <w:pPr>
        <w:ind w:left="6993" w:hanging="668"/>
      </w:pPr>
      <w:rPr>
        <w:rFonts w:hint="default"/>
      </w:rPr>
    </w:lvl>
    <w:lvl w:ilvl="8" w:tplc="5EAC73DE">
      <w:numFmt w:val="bullet"/>
      <w:lvlText w:val="•"/>
      <w:lvlJc w:val="left"/>
      <w:pPr>
        <w:ind w:left="7868" w:hanging="668"/>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9228FF"/>
    <w:rsid w:val="00001732"/>
    <w:rsid w:val="000341C2"/>
    <w:rsid w:val="006A6598"/>
    <w:rsid w:val="006E7EDE"/>
    <w:rsid w:val="008C2BD7"/>
    <w:rsid w:val="009228FF"/>
    <w:rsid w:val="00BE02AE"/>
    <w:rsid w:val="00E63A8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C52E243"/>
  <w15:docId w15:val="{82FC67DA-C2BE-4374-8B4E-B7BD72A5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widowControl w:val="0"/>
        <w:autoSpaceDE w:val="0"/>
        <w:autoSpaceDN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Pr>
      <w:rFonts w:ascii="Arial" w:eastAsia="Arial" w:hAnsi="Arial" w:cs="Arial"/>
    </w:rPr>
  </w:style>
  <w:style w:type="paragraph" w:styleId="Balk1">
    <w:name w:val="heading 1"/>
    <w:basedOn w:val="Normal"/>
    <w:uiPriority w:val="1"/>
    <w:qFormat/>
    <w:pPr>
      <w:ind w:left="396"/>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1073" w:hanging="67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001732"/>
    <w:rPr>
      <w:rFonts w:ascii="Tahoma" w:hAnsi="Tahoma" w:cs="Tahoma"/>
      <w:sz w:val="16"/>
      <w:szCs w:val="16"/>
    </w:rPr>
  </w:style>
  <w:style w:type="character" w:customStyle="1" w:styleId="BalonMetniChar">
    <w:name w:val="Balon Metni Char"/>
    <w:basedOn w:val="VarsaylanParagrafYazTipi"/>
    <w:link w:val="BalonMetni"/>
    <w:uiPriority w:val="99"/>
    <w:semiHidden/>
    <w:rsid w:val="00001732"/>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ippi.org/committee/patentabililty-of-computer-implemented-inventions/" TargetMode="External"/><Relationship Id="rId5" Type="http://schemas.openxmlformats.org/officeDocument/2006/relationships/footnotes" Target="footnotes.xml"/><Relationship Id="rId10" Type="http://schemas.openxmlformats.org/officeDocument/2006/relationships/hyperlink" Target="http://aippi.org/wp-content/uploads/2017/08/Summary-" TargetMode="External"/><Relationship Id="rId4" Type="http://schemas.openxmlformats.org/officeDocument/2006/relationships/webSettings" Target="webSettings.xml"/><Relationship Id="rId9" Type="http://schemas.openxmlformats.org/officeDocument/2006/relationships/hyperlink" Target="http://aippi.org/wp-content/uploads/2017/01/FINAL-web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742</Words>
  <Characters>4235</Characters>
  <Application>Microsoft Office Word</Application>
  <DocSecurity>0</DocSecurity>
  <Lines>35</Lines>
  <Paragraphs>9</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Adopted Resolution - Patentability of computer implemented inventions_English</dc:title>
  <dc:creator>aiifma</dc:creator>
  <cp:lastModifiedBy>Olgac NACAKCI</cp:lastModifiedBy>
  <cp:revision>8</cp:revision>
  <cp:lastPrinted>2018-03-13T13:54:00Z</cp:lastPrinted>
  <dcterms:created xsi:type="dcterms:W3CDTF">2018-02-21T14:39:00Z</dcterms:created>
  <dcterms:modified xsi:type="dcterms:W3CDTF">2018-03-26T15:30:00Z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2017-10-30T00:00:00Z</vt:filetime>
  </property>
  <property fmtid="{D5CDD505-2E9C-101B-9397-08002B2CF9AE}" pid="3" name="Creator">
    <vt:lpwstr>PDFCreator 2.1.2.0</vt:lpwstr>
  </property>
  <property fmtid="{D5CDD505-2E9C-101B-9397-08002B2CF9AE}" pid="4" name="LastSaved">
    <vt:filetime>2018-02-21T00:00:00Z</vt:filetime>
  </property>
</Properties>
</file>