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1A0" w:rsidRPr="00BD2BC6" w:rsidRDefault="00DE62BB">
      <w:pPr>
        <w:pStyle w:val="GvdeMetni"/>
        <w:ind w:left="7539"/>
        <w:rPr>
          <w:rFonts w:ascii="Times New Roman"/>
          <w:sz w:val="18"/>
          <w:szCs w:val="18"/>
        </w:rPr>
      </w:pPr>
      <w:r w:rsidRPr="00BD2BC6">
        <w:rPr>
          <w:rFonts w:ascii="Times New Roman"/>
          <w:noProof/>
          <w:sz w:val="18"/>
          <w:szCs w:val="18"/>
          <w:lang w:eastAsia="tr-TR"/>
        </w:rPr>
        <w:drawing>
          <wp:inline distT="0" distB="0" distL="0" distR="0" wp14:anchorId="5A5851C3" wp14:editId="09458D78">
            <wp:extent cx="1147230" cy="82010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147230" cy="820102"/>
                    </a:xfrm>
                    <a:prstGeom prst="rect">
                      <a:avLst/>
                    </a:prstGeom>
                  </pic:spPr>
                </pic:pic>
              </a:graphicData>
            </a:graphic>
          </wp:inline>
        </w:drawing>
      </w:r>
    </w:p>
    <w:p w:rsidR="003851A0" w:rsidRPr="00BD2BC6" w:rsidRDefault="003851A0">
      <w:pPr>
        <w:pStyle w:val="GvdeMetni"/>
        <w:rPr>
          <w:rFonts w:ascii="Times New Roman"/>
          <w:sz w:val="18"/>
          <w:szCs w:val="18"/>
        </w:rPr>
      </w:pPr>
    </w:p>
    <w:p w:rsidR="003851A0" w:rsidRPr="00BD2BC6" w:rsidRDefault="003851A0">
      <w:pPr>
        <w:pStyle w:val="GvdeMetni"/>
        <w:spacing w:before="10"/>
        <w:rPr>
          <w:rFonts w:ascii="Times New Roman"/>
          <w:sz w:val="13"/>
          <w:szCs w:val="18"/>
        </w:rPr>
      </w:pPr>
    </w:p>
    <w:p w:rsidR="003851A0" w:rsidRPr="00BD2BC6" w:rsidRDefault="00DE62BB" w:rsidP="0042768E">
      <w:pPr>
        <w:pStyle w:val="GvdeMetni"/>
        <w:tabs>
          <w:tab w:val="left" w:pos="3686"/>
        </w:tabs>
        <w:spacing w:before="100" w:line="247" w:lineRule="auto"/>
        <w:ind w:left="130" w:right="5349"/>
        <w:rPr>
          <w:sz w:val="18"/>
          <w:szCs w:val="18"/>
        </w:rPr>
      </w:pPr>
      <w:r w:rsidRPr="00BD2BC6">
        <w:rPr>
          <w:sz w:val="18"/>
          <w:szCs w:val="18"/>
        </w:rPr>
        <w:t xml:space="preserve">2017 AIPPI </w:t>
      </w:r>
      <w:r w:rsidR="005B303F" w:rsidRPr="00BD2BC6">
        <w:rPr>
          <w:sz w:val="18"/>
          <w:szCs w:val="18"/>
        </w:rPr>
        <w:t xml:space="preserve">Dünya Kongresi - </w:t>
      </w:r>
      <w:r w:rsidRPr="00BD2BC6">
        <w:rPr>
          <w:sz w:val="18"/>
          <w:szCs w:val="18"/>
        </w:rPr>
        <w:t xml:space="preserve">Sydney </w:t>
      </w:r>
      <w:r w:rsidR="0042768E" w:rsidRPr="00BD2BC6">
        <w:rPr>
          <w:sz w:val="18"/>
          <w:szCs w:val="18"/>
        </w:rPr>
        <w:br/>
      </w:r>
      <w:r w:rsidR="0082494E">
        <w:rPr>
          <w:sz w:val="18"/>
          <w:szCs w:val="18"/>
        </w:rPr>
        <w:t xml:space="preserve">Kabul Edilen </w:t>
      </w:r>
      <w:r w:rsidRPr="00BD2BC6">
        <w:rPr>
          <w:sz w:val="18"/>
          <w:szCs w:val="18"/>
        </w:rPr>
        <w:t>Karar</w:t>
      </w:r>
    </w:p>
    <w:p w:rsidR="003851A0" w:rsidRPr="00BD2BC6" w:rsidRDefault="00DE62BB">
      <w:pPr>
        <w:pStyle w:val="GvdeMetni"/>
        <w:ind w:left="130"/>
        <w:rPr>
          <w:sz w:val="18"/>
          <w:szCs w:val="18"/>
        </w:rPr>
      </w:pPr>
      <w:r w:rsidRPr="00BD2BC6">
        <w:rPr>
          <w:sz w:val="18"/>
          <w:szCs w:val="18"/>
        </w:rPr>
        <w:t>17 Ekim 2017</w:t>
      </w:r>
    </w:p>
    <w:p w:rsidR="003851A0" w:rsidRPr="00BD2BC6" w:rsidRDefault="003851A0">
      <w:pPr>
        <w:pStyle w:val="GvdeMetni"/>
        <w:rPr>
          <w:sz w:val="18"/>
          <w:szCs w:val="18"/>
        </w:rPr>
      </w:pPr>
    </w:p>
    <w:p w:rsidR="003851A0" w:rsidRPr="00BD2BC6" w:rsidRDefault="00DE62BB">
      <w:pPr>
        <w:pStyle w:val="Balk1"/>
        <w:ind w:left="2769" w:right="3434"/>
        <w:jc w:val="center"/>
        <w:rPr>
          <w:sz w:val="18"/>
          <w:szCs w:val="18"/>
        </w:rPr>
      </w:pPr>
      <w:r w:rsidRPr="00BD2BC6">
        <w:rPr>
          <w:sz w:val="18"/>
          <w:szCs w:val="18"/>
        </w:rPr>
        <w:t>Karar</w:t>
      </w:r>
    </w:p>
    <w:p w:rsidR="003851A0" w:rsidRPr="00BD2BC6" w:rsidRDefault="003851A0">
      <w:pPr>
        <w:pStyle w:val="GvdeMetni"/>
        <w:spacing w:before="3"/>
        <w:rPr>
          <w:b/>
          <w:szCs w:val="18"/>
        </w:rPr>
      </w:pPr>
    </w:p>
    <w:p w:rsidR="003851A0" w:rsidRPr="00BD2BC6" w:rsidRDefault="00DE62BB">
      <w:pPr>
        <w:spacing w:after="18" w:line="499" w:lineRule="auto"/>
        <w:ind w:left="2769" w:right="3440"/>
        <w:jc w:val="center"/>
        <w:rPr>
          <w:b/>
          <w:sz w:val="18"/>
          <w:szCs w:val="20"/>
        </w:rPr>
      </w:pPr>
      <w:r w:rsidRPr="00BD2BC6">
        <w:rPr>
          <w:b/>
          <w:sz w:val="18"/>
          <w:szCs w:val="20"/>
        </w:rPr>
        <w:t>2017 – Çalışma Sorusu (Genel)</w:t>
      </w:r>
      <w:r w:rsidRPr="00BD2BC6">
        <w:rPr>
          <w:b/>
          <w:sz w:val="18"/>
          <w:szCs w:val="20"/>
        </w:rPr>
        <w:br/>
        <w:t>Maddi telafi tutarının belirlenmesi</w:t>
      </w:r>
    </w:p>
    <w:p w:rsidR="003851A0" w:rsidRPr="00BD2BC6" w:rsidRDefault="00DE62BB">
      <w:pPr>
        <w:pStyle w:val="GvdeMetni"/>
        <w:spacing w:line="20" w:lineRule="exact"/>
        <w:ind w:left="100"/>
        <w:rPr>
          <w:sz w:val="2"/>
          <w:szCs w:val="18"/>
        </w:rPr>
      </w:pPr>
      <w:r w:rsidRPr="00BD2BC6">
        <w:rPr>
          <w:rFonts w:ascii="Times New Roman"/>
          <w:sz w:val="2"/>
          <w:szCs w:val="18"/>
        </w:rPr>
        <w:t xml:space="preserve"> </w:t>
      </w:r>
      <w:r w:rsidR="005B303F" w:rsidRPr="00BD2BC6">
        <w:rPr>
          <w:noProof/>
          <w:sz w:val="2"/>
          <w:szCs w:val="18"/>
          <w:lang w:eastAsia="tr-TR"/>
        </w:rPr>
        <mc:AlternateContent>
          <mc:Choice Requires="wpg">
            <w:drawing>
              <wp:inline distT="0" distB="0" distL="0" distR="0">
                <wp:extent cx="5450205" cy="5080"/>
                <wp:effectExtent l="6350" t="2540" r="10795" b="11430"/>
                <wp:docPr id="3" name="4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0205" cy="5080"/>
                          <a:chOff x="0" y="0"/>
                          <a:chExt cx="8583" cy="8"/>
                        </a:xfrm>
                      </wpg:grpSpPr>
                      <wps:wsp>
                        <wps:cNvPr id="4" name="4365"/>
                        <wps:cNvCnPr>
                          <a:cxnSpLocks noChangeShapeType="1"/>
                        </wps:cNvCnPr>
                        <wps:spPr bwMode="auto">
                          <a:xfrm>
                            <a:off x="0" y="4"/>
                            <a:ext cx="858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BC10FC" id="4210" o:spid="_x0000_s1026" style="width:429.15pt;height:.4pt;mso-position-horizontal-relative:char;mso-position-vertical-relative:line" coordsize="85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">
                <v:line id="4365" o:spid="_x0000_s1027" style="position:absolute;visibility:visible;mso-wrap-style:square" from="0,4" to="85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F/C8MAAADaAAAADwAAAGRycy9kb3ducmV2LnhtbESPQWvCQBSE70L/w/IKvTWbhlJL6iql&#10;UNQKitreH9lnNph9G7IbE/31rlDwOMzMN8xkNthanKj1lWMFL0kKgrhwuuJSwe/++/kdhA/IGmvH&#10;pOBMHmbTh9EEc+163tJpF0oRIexzVGBCaHIpfWHIok9cQxy9g2sthijbUuoW+wi3tczS9E1arDgu&#10;GGzoy1Bx3HVWQej/xvvlZjiaw8+lW3HW1dl8rdTT4/D5ASLQEO7h//ZCK3iF25V4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hfwvDAAAA2gAAAA8AAAAAAAAAAAAA&#10;AAAAoQIAAGRycy9kb3ducmV2LnhtbFBLBQYAAAAABAAEAPkAAACRAwAAAAA=&#10;" strokeweight=".36pt"/>
                <w10:anchorlock/>
              </v:group>
            </w:pict>
          </mc:Fallback>
        </mc:AlternateContent>
      </w:r>
    </w:p>
    <w:p w:rsidR="003851A0" w:rsidRPr="00BD2BC6" w:rsidRDefault="003851A0">
      <w:pPr>
        <w:pStyle w:val="GvdeMetni"/>
        <w:spacing w:before="9"/>
        <w:rPr>
          <w:b/>
          <w:sz w:val="18"/>
          <w:szCs w:val="18"/>
        </w:rPr>
      </w:pPr>
    </w:p>
    <w:p w:rsidR="003851A0" w:rsidRPr="00BD2BC6" w:rsidRDefault="0027468D">
      <w:pPr>
        <w:ind w:left="130"/>
        <w:rPr>
          <w:b/>
          <w:sz w:val="18"/>
          <w:szCs w:val="20"/>
        </w:rPr>
      </w:pPr>
      <w:r>
        <w:rPr>
          <w:b/>
          <w:sz w:val="18"/>
          <w:szCs w:val="20"/>
        </w:rPr>
        <w:t xml:space="preserve">Konunun </w:t>
      </w:r>
      <w:r w:rsidR="00976A67">
        <w:rPr>
          <w:b/>
          <w:sz w:val="18"/>
          <w:szCs w:val="20"/>
        </w:rPr>
        <w:t>arka planı;</w:t>
      </w:r>
    </w:p>
    <w:p w:rsidR="003851A0" w:rsidRPr="00BD2BC6" w:rsidRDefault="003851A0">
      <w:pPr>
        <w:pStyle w:val="GvdeMetni"/>
        <w:spacing w:before="3"/>
        <w:rPr>
          <w:b/>
          <w:szCs w:val="18"/>
        </w:rPr>
      </w:pPr>
    </w:p>
    <w:p w:rsidR="003851A0" w:rsidRPr="00BD2BC6" w:rsidRDefault="00DE62BB">
      <w:pPr>
        <w:pStyle w:val="ListeParagraf"/>
        <w:numPr>
          <w:ilvl w:val="0"/>
          <w:numId w:val="3"/>
        </w:numPr>
        <w:tabs>
          <w:tab w:val="left" w:pos="808"/>
        </w:tabs>
        <w:spacing w:line="247" w:lineRule="auto"/>
        <w:ind w:right="793"/>
        <w:jc w:val="both"/>
        <w:rPr>
          <w:sz w:val="18"/>
          <w:szCs w:val="20"/>
        </w:rPr>
      </w:pPr>
      <w:r w:rsidRPr="00BD2BC6">
        <w:rPr>
          <w:sz w:val="18"/>
          <w:szCs w:val="20"/>
        </w:rPr>
        <w:t>Bu Karar, fikri mülkiyet (</w:t>
      </w:r>
      <w:r w:rsidRPr="00BD2BC6">
        <w:rPr>
          <w:b/>
          <w:i/>
          <w:sz w:val="18"/>
          <w:szCs w:val="20"/>
        </w:rPr>
        <w:t>IP</w:t>
      </w:r>
      <w:r w:rsidRPr="00BD2BC6">
        <w:rPr>
          <w:sz w:val="18"/>
          <w:szCs w:val="20"/>
        </w:rPr>
        <w:t>) haklarının ihlaline ilişkin maddi telafi tutarının belirlenmesi hakkındadır.</w:t>
      </w:r>
      <w:r w:rsidRPr="00BD2BC6">
        <w:rPr>
          <w:b/>
          <w:i/>
          <w:sz w:val="18"/>
          <w:szCs w:val="20"/>
        </w:rPr>
        <w:t xml:space="preserve"> </w:t>
      </w:r>
      <w:r w:rsidRPr="00BD2BC6">
        <w:rPr>
          <w:sz w:val="18"/>
          <w:szCs w:val="20"/>
        </w:rPr>
        <w:t>Bu Karar, tazminat veya ihlal edenin hukuka aykırı olarak elde ettiği kârların hak sahibine iade edildiği kâr hesapları ve diğer telafi yolları hakkında değildir.</w:t>
      </w:r>
    </w:p>
    <w:p w:rsidR="003851A0" w:rsidRPr="00BD2BC6" w:rsidRDefault="00DE62BB">
      <w:pPr>
        <w:pStyle w:val="ListeParagraf"/>
        <w:numPr>
          <w:ilvl w:val="0"/>
          <w:numId w:val="3"/>
        </w:numPr>
        <w:tabs>
          <w:tab w:val="left" w:pos="808"/>
        </w:tabs>
        <w:spacing w:before="116" w:line="247" w:lineRule="auto"/>
        <w:ind w:right="797"/>
        <w:jc w:val="both"/>
        <w:rPr>
          <w:sz w:val="18"/>
          <w:szCs w:val="20"/>
        </w:rPr>
      </w:pPr>
      <w:r w:rsidRPr="00BD2BC6">
        <w:rPr>
          <w:sz w:val="18"/>
          <w:szCs w:val="20"/>
        </w:rPr>
        <w:t>Makul telif hakkı ücretlerinin, daha genel olarak tazminat tutarının belirlenmesi bakımından ilgili olduğu durumlar haricinde, standart temel patentler bağlamında FRAND (adil, makul ve ayrım</w:t>
      </w:r>
      <w:r w:rsidR="00A97AF6">
        <w:rPr>
          <w:sz w:val="18"/>
          <w:szCs w:val="20"/>
        </w:rPr>
        <w:t>cı nitelikte</w:t>
      </w:r>
      <w:r w:rsidRPr="00BD2BC6">
        <w:rPr>
          <w:sz w:val="18"/>
          <w:szCs w:val="20"/>
        </w:rPr>
        <w:t xml:space="preserve"> </w:t>
      </w:r>
      <w:r w:rsidR="00A97AF6">
        <w:rPr>
          <w:sz w:val="18"/>
          <w:szCs w:val="20"/>
        </w:rPr>
        <w:t>olma</w:t>
      </w:r>
      <w:r w:rsidRPr="00BD2BC6">
        <w:rPr>
          <w:sz w:val="18"/>
          <w:szCs w:val="20"/>
        </w:rPr>
        <w:t>yan) telif hakkı ücretlerine ilişkin spesifik konular bu Kararın kapsamı dışındadır.</w:t>
      </w:r>
    </w:p>
    <w:p w:rsidR="003851A0" w:rsidRPr="00BD2BC6" w:rsidRDefault="00DE62BB">
      <w:pPr>
        <w:pStyle w:val="ListeParagraf"/>
        <w:numPr>
          <w:ilvl w:val="0"/>
          <w:numId w:val="3"/>
        </w:numPr>
        <w:tabs>
          <w:tab w:val="left" w:pos="808"/>
        </w:tabs>
        <w:spacing w:before="111" w:line="247" w:lineRule="auto"/>
        <w:ind w:right="795"/>
        <w:jc w:val="both"/>
        <w:rPr>
          <w:sz w:val="18"/>
          <w:szCs w:val="20"/>
        </w:rPr>
      </w:pPr>
      <w:r w:rsidRPr="00BD2BC6">
        <w:rPr>
          <w:sz w:val="18"/>
          <w:szCs w:val="20"/>
        </w:rPr>
        <w:t>Bu K</w:t>
      </w:r>
      <w:r w:rsidR="00656071">
        <w:rPr>
          <w:sz w:val="18"/>
          <w:szCs w:val="20"/>
        </w:rPr>
        <w:t>ararın başlıca amacı, tazminat amacına</w:t>
      </w:r>
      <w:r w:rsidRPr="00BD2BC6">
        <w:rPr>
          <w:sz w:val="18"/>
          <w:szCs w:val="20"/>
        </w:rPr>
        <w:t xml:space="preserve"> daha uyumlaştırılmış ve tutarlı şekilde </w:t>
      </w:r>
      <w:r w:rsidR="00656071">
        <w:rPr>
          <w:sz w:val="18"/>
          <w:szCs w:val="20"/>
        </w:rPr>
        <w:t>ulaşılmasına yardımcı olmak adına,</w:t>
      </w:r>
      <w:r w:rsidRPr="00BD2BC6">
        <w:rPr>
          <w:sz w:val="18"/>
          <w:szCs w:val="20"/>
        </w:rPr>
        <w:t xml:space="preserve"> tazminat tutarının belirlenmesine ilişkin yöntemler geliştirmektir. Bu Kararın bir amacı </w:t>
      </w:r>
      <w:r w:rsidR="00A368FC" w:rsidRPr="00BD2BC6">
        <w:rPr>
          <w:sz w:val="18"/>
          <w:szCs w:val="20"/>
        </w:rPr>
        <w:t>da</w:t>
      </w:r>
      <w:r w:rsidRPr="00BD2BC6">
        <w:rPr>
          <w:sz w:val="18"/>
          <w:szCs w:val="20"/>
        </w:rPr>
        <w:t xml:space="preserve"> maddi tazminatın adil ve nesnel metodolojiler uyarınca nasıl hesaplanması gerektiğini belirlemektir.</w:t>
      </w:r>
    </w:p>
    <w:p w:rsidR="003851A0" w:rsidRPr="00BD2BC6" w:rsidRDefault="00DE62BB">
      <w:pPr>
        <w:pStyle w:val="ListeParagraf"/>
        <w:numPr>
          <w:ilvl w:val="0"/>
          <w:numId w:val="3"/>
        </w:numPr>
        <w:tabs>
          <w:tab w:val="left" w:pos="807"/>
          <w:tab w:val="left" w:pos="808"/>
        </w:tabs>
        <w:spacing w:before="116"/>
        <w:rPr>
          <w:sz w:val="18"/>
          <w:szCs w:val="20"/>
        </w:rPr>
      </w:pPr>
      <w:r w:rsidRPr="00BD2BC6">
        <w:rPr>
          <w:sz w:val="18"/>
          <w:szCs w:val="20"/>
        </w:rPr>
        <w:t>Bu Kararda:</w:t>
      </w:r>
    </w:p>
    <w:p w:rsidR="003851A0" w:rsidRPr="00BD2BC6" w:rsidRDefault="00DE62BB" w:rsidP="001B047C">
      <w:pPr>
        <w:pStyle w:val="ListeParagraf"/>
        <w:numPr>
          <w:ilvl w:val="1"/>
          <w:numId w:val="3"/>
        </w:numPr>
        <w:tabs>
          <w:tab w:val="left" w:pos="1483"/>
          <w:tab w:val="left" w:pos="1484"/>
        </w:tabs>
        <w:spacing w:before="121" w:line="247" w:lineRule="auto"/>
        <w:ind w:right="436" w:hanging="688"/>
        <w:jc w:val="both"/>
        <w:rPr>
          <w:sz w:val="18"/>
          <w:szCs w:val="20"/>
        </w:rPr>
      </w:pPr>
      <w:r w:rsidRPr="00BD2BC6">
        <w:rPr>
          <w:b/>
          <w:i/>
          <w:sz w:val="18"/>
          <w:szCs w:val="20"/>
        </w:rPr>
        <w:t>IP hakları</w:t>
      </w:r>
      <w:r w:rsidRPr="00BD2BC6">
        <w:rPr>
          <w:sz w:val="18"/>
          <w:szCs w:val="20"/>
        </w:rPr>
        <w:t xml:space="preserve"> kavramı, patent ve ek koruma belgeleri, küçük patentler ve faydalı modeller, markalar, haksız rekabet</w:t>
      </w:r>
      <w:r w:rsidR="00656071">
        <w:rPr>
          <w:sz w:val="18"/>
          <w:szCs w:val="20"/>
        </w:rPr>
        <w:t>i</w:t>
      </w:r>
      <w:r w:rsidRPr="00BD2BC6">
        <w:rPr>
          <w:sz w:val="18"/>
          <w:szCs w:val="20"/>
        </w:rPr>
        <w:t xml:space="preserve"> </w:t>
      </w:r>
      <w:r w:rsidR="00656071">
        <w:rPr>
          <w:sz w:val="18"/>
          <w:szCs w:val="20"/>
        </w:rPr>
        <w:t>engelleyen</w:t>
      </w:r>
      <w:r w:rsidRPr="00BD2BC6">
        <w:rPr>
          <w:sz w:val="18"/>
          <w:szCs w:val="20"/>
        </w:rPr>
        <w:t xml:space="preserve"> haklar, telif</w:t>
      </w:r>
      <w:r w:rsidR="00656071">
        <w:rPr>
          <w:sz w:val="18"/>
          <w:szCs w:val="20"/>
        </w:rPr>
        <w:t xml:space="preserve"> hakları, yarı iletken topografyalar</w:t>
      </w:r>
      <w:r w:rsidRPr="00BD2BC6">
        <w:rPr>
          <w:sz w:val="18"/>
          <w:szCs w:val="20"/>
        </w:rPr>
        <w:t xml:space="preserve">, veri tabanı </w:t>
      </w:r>
      <w:r w:rsidR="00656071">
        <w:rPr>
          <w:sz w:val="18"/>
          <w:szCs w:val="20"/>
        </w:rPr>
        <w:t xml:space="preserve">hakları </w:t>
      </w:r>
      <w:r w:rsidRPr="00BD2BC6">
        <w:rPr>
          <w:sz w:val="18"/>
          <w:szCs w:val="20"/>
        </w:rPr>
        <w:t>ve tasarım haklarını kapsamakta ancak ticari sırlar, gizlilik ve know-how haklarını kapsamamaktadır;</w:t>
      </w:r>
    </w:p>
    <w:p w:rsidR="003851A0" w:rsidRPr="00BD2BC6" w:rsidRDefault="00DE62BB" w:rsidP="001B047C">
      <w:pPr>
        <w:pStyle w:val="ListeParagraf"/>
        <w:numPr>
          <w:ilvl w:val="1"/>
          <w:numId w:val="3"/>
        </w:numPr>
        <w:tabs>
          <w:tab w:val="left" w:pos="1483"/>
          <w:tab w:val="left" w:pos="1484"/>
        </w:tabs>
        <w:spacing w:before="114" w:line="247" w:lineRule="auto"/>
        <w:ind w:right="436" w:hanging="688"/>
        <w:jc w:val="both"/>
        <w:rPr>
          <w:sz w:val="18"/>
          <w:szCs w:val="20"/>
        </w:rPr>
      </w:pPr>
      <w:r w:rsidRPr="00BD2BC6">
        <w:rPr>
          <w:b/>
          <w:i/>
          <w:sz w:val="18"/>
          <w:szCs w:val="20"/>
        </w:rPr>
        <w:t>tazminat</w:t>
      </w:r>
      <w:r w:rsidRPr="00BD2BC6">
        <w:rPr>
          <w:sz w:val="18"/>
          <w:szCs w:val="20"/>
        </w:rPr>
        <w:t xml:space="preserve"> kavramı i) hak ihlali fiilinden dolayı hak sahibinin maruz kaldığı fiili zarar/ziyan, örneğin satış kaybı veya fiyat erozyonu; ii) AIPPI’nin “Fikri Mülkiyet Haklarının Uygulanması” başlıklı Q134 Kararı’nın - TRIPS (Rio de Janeiro, 1998) 6(a) paragrafında atıfta bulunulan “kanıtlanmış zarar” ve iii) fiili zarar/ziyanın kanıtlanmadığı durumlarda hükmedilen makul telif hakkı ücretleri dahil ancak bunlarla sınırlı olmaksızın, IP haklarına ilişkin olarak öngörülen maddi telafi anlamına gelmektedir;</w:t>
      </w:r>
    </w:p>
    <w:p w:rsidR="003851A0" w:rsidRPr="00BD2BC6" w:rsidRDefault="00DE62BB" w:rsidP="001B047C">
      <w:pPr>
        <w:pStyle w:val="ListeParagraf"/>
        <w:numPr>
          <w:ilvl w:val="1"/>
          <w:numId w:val="3"/>
        </w:numPr>
        <w:tabs>
          <w:tab w:val="left" w:pos="1483"/>
          <w:tab w:val="left" w:pos="1484"/>
        </w:tabs>
        <w:spacing w:before="114" w:line="244" w:lineRule="auto"/>
        <w:ind w:right="436" w:hanging="688"/>
        <w:jc w:val="both"/>
        <w:rPr>
          <w:sz w:val="18"/>
          <w:szCs w:val="20"/>
        </w:rPr>
      </w:pPr>
      <w:r w:rsidRPr="00BD2BC6">
        <w:rPr>
          <w:b/>
          <w:i/>
          <w:sz w:val="18"/>
          <w:szCs w:val="20"/>
        </w:rPr>
        <w:t>dava konusu IP hakları</w:t>
      </w:r>
      <w:r w:rsidRPr="00BD2BC6">
        <w:rPr>
          <w:sz w:val="18"/>
          <w:szCs w:val="20"/>
        </w:rPr>
        <w:t xml:space="preserve"> kavramı, mahkemenin tazminat tutarını belirlemesi gerekeceği, ihlal edilmiş olduğu tespit edilen IP hakları anlamına gelmektedir;</w:t>
      </w:r>
    </w:p>
    <w:p w:rsidR="001B047C" w:rsidRDefault="00DE62BB" w:rsidP="001B047C">
      <w:pPr>
        <w:pStyle w:val="ListeParagraf"/>
        <w:numPr>
          <w:ilvl w:val="1"/>
          <w:numId w:val="3"/>
        </w:numPr>
        <w:tabs>
          <w:tab w:val="left" w:pos="1483"/>
          <w:tab w:val="left" w:pos="1484"/>
        </w:tabs>
        <w:spacing w:before="116" w:line="244" w:lineRule="auto"/>
        <w:ind w:right="436" w:hanging="688"/>
        <w:jc w:val="both"/>
        <w:rPr>
          <w:sz w:val="18"/>
          <w:szCs w:val="20"/>
        </w:rPr>
      </w:pPr>
      <w:r w:rsidRPr="00BD2BC6">
        <w:rPr>
          <w:b/>
          <w:i/>
          <w:sz w:val="18"/>
          <w:szCs w:val="20"/>
        </w:rPr>
        <w:t>fiyat erozyonu</w:t>
      </w:r>
      <w:r w:rsidRPr="00BD2BC6">
        <w:rPr>
          <w:sz w:val="18"/>
          <w:szCs w:val="20"/>
        </w:rPr>
        <w:t>, dava konusu IP hakkını</w:t>
      </w:r>
      <w:r w:rsidR="000E30B1">
        <w:rPr>
          <w:sz w:val="18"/>
          <w:szCs w:val="20"/>
        </w:rPr>
        <w:t xml:space="preserve"> ile ilişkili</w:t>
      </w:r>
      <w:r w:rsidRPr="00BD2BC6">
        <w:rPr>
          <w:sz w:val="18"/>
          <w:szCs w:val="20"/>
        </w:rPr>
        <w:t xml:space="preserve"> ürün veya hizmetlerin, ihlal söz konusu olmasa idi hak sahibinin elde etmiş olacağı kâr marjından daha düşük bir marjda yapılan satışları anlamına gelmektedir</w:t>
      </w:r>
    </w:p>
    <w:p w:rsidR="003851A0" w:rsidRPr="001B047C" w:rsidRDefault="000D0A09" w:rsidP="001B047C">
      <w:pPr>
        <w:pStyle w:val="ListeParagraf"/>
        <w:numPr>
          <w:ilvl w:val="1"/>
          <w:numId w:val="3"/>
        </w:numPr>
        <w:tabs>
          <w:tab w:val="left" w:pos="1483"/>
          <w:tab w:val="left" w:pos="1484"/>
        </w:tabs>
        <w:spacing w:before="116" w:line="244" w:lineRule="auto"/>
        <w:ind w:right="436" w:hanging="688"/>
        <w:jc w:val="both"/>
        <w:rPr>
          <w:sz w:val="18"/>
          <w:szCs w:val="20"/>
        </w:rPr>
      </w:pPr>
      <w:r w:rsidRPr="001B047C">
        <w:rPr>
          <w:b/>
          <w:i/>
          <w:sz w:val="18"/>
          <w:szCs w:val="20"/>
        </w:rPr>
        <w:t>birlikte (convoyed) satışlar</w:t>
      </w:r>
      <w:r w:rsidRPr="001B047C">
        <w:rPr>
          <w:sz w:val="18"/>
          <w:szCs w:val="20"/>
        </w:rPr>
        <w:t xml:space="preserve"> kavramı, bu ürünlerin başkaları tarafından veya teamül gereği birlikte satılıp satılmadığına bakılmaksızın, dava konusu IP hakları tarafından korunmayan ancak gerçekte, ihlal eden tarafça dava konusu IP haklarını uygulayan ürün veya hizmetlerle birlikte satılan ürün veya hizmetlerin satışları anlamına gelmektedir.</w:t>
      </w:r>
    </w:p>
    <w:p w:rsidR="003851A0" w:rsidRPr="00BD2BC6" w:rsidRDefault="00DE62BB">
      <w:pPr>
        <w:pStyle w:val="ListeParagraf"/>
        <w:numPr>
          <w:ilvl w:val="0"/>
          <w:numId w:val="3"/>
        </w:numPr>
        <w:tabs>
          <w:tab w:val="left" w:pos="808"/>
        </w:tabs>
        <w:spacing w:before="113" w:line="247" w:lineRule="auto"/>
        <w:ind w:right="142"/>
        <w:jc w:val="both"/>
        <w:rPr>
          <w:sz w:val="18"/>
          <w:szCs w:val="20"/>
        </w:rPr>
      </w:pPr>
      <w:r w:rsidRPr="00BD2BC6">
        <w:rPr>
          <w:sz w:val="18"/>
          <w:szCs w:val="20"/>
        </w:rPr>
        <w:lastRenderedPageBreak/>
        <w:t>T</w:t>
      </w:r>
      <w:r w:rsidR="00311D96">
        <w:rPr>
          <w:sz w:val="18"/>
          <w:szCs w:val="20"/>
        </w:rPr>
        <w:t>azminat tutarının belirlenmesine, tazminatın</w:t>
      </w:r>
      <w:r w:rsidRPr="00BD2BC6">
        <w:rPr>
          <w:sz w:val="18"/>
          <w:szCs w:val="20"/>
        </w:rPr>
        <w:t xml:space="preserve"> hak sahibi</w:t>
      </w:r>
      <w:r w:rsidR="00311D96">
        <w:rPr>
          <w:sz w:val="18"/>
          <w:szCs w:val="20"/>
        </w:rPr>
        <w:t>nin</w:t>
      </w:r>
      <w:r w:rsidRPr="00BD2BC6">
        <w:rPr>
          <w:sz w:val="18"/>
          <w:szCs w:val="20"/>
        </w:rPr>
        <w:t xml:space="preserve"> </w:t>
      </w:r>
      <w:r w:rsidR="00311D96">
        <w:rPr>
          <w:sz w:val="18"/>
          <w:szCs w:val="20"/>
        </w:rPr>
        <w:t>maruz kaldığı</w:t>
      </w:r>
      <w:r w:rsidRPr="00BD2BC6">
        <w:rPr>
          <w:sz w:val="18"/>
          <w:szCs w:val="20"/>
        </w:rPr>
        <w:t xml:space="preserve"> zararı tazmin ettiği anlayışından hareketle başlanması gerektiği, bu Kararın temelini oluşturmaktadır.</w:t>
      </w:r>
    </w:p>
    <w:p w:rsidR="003851A0" w:rsidRPr="00BD2BC6" w:rsidRDefault="00BD344B">
      <w:pPr>
        <w:pStyle w:val="ListeParagraf"/>
        <w:numPr>
          <w:ilvl w:val="0"/>
          <w:numId w:val="3"/>
        </w:numPr>
        <w:tabs>
          <w:tab w:val="left" w:pos="808"/>
        </w:tabs>
        <w:spacing w:before="113" w:line="249" w:lineRule="auto"/>
        <w:ind w:right="135"/>
        <w:jc w:val="both"/>
        <w:rPr>
          <w:sz w:val="18"/>
          <w:szCs w:val="20"/>
        </w:rPr>
      </w:pPr>
      <w:r>
        <w:rPr>
          <w:sz w:val="18"/>
          <w:szCs w:val="20"/>
        </w:rPr>
        <w:t>Çalışmanın</w:t>
      </w:r>
      <w:r w:rsidR="00DE62BB" w:rsidRPr="00BD2BC6">
        <w:rPr>
          <w:sz w:val="18"/>
          <w:szCs w:val="20"/>
        </w:rPr>
        <w:t xml:space="preserve"> bariz hassasiyeti ve kritik maddi vakıaların (örneğin hak sahibinin hiç gerçekleşmemiş, zayi olan satışları) kaçınılmaz eksikliği nedeniyle tahmin mekanizmalarının ve temsili rakamların kullanılması gerekebilir. Mahkeme, hak sahibini telafiden mahrum bırakmak yerine, mevcut kanıtlara dayanarak bir hüküm vermeye hazırlıklı olmalı ancak </w:t>
      </w:r>
      <w:r w:rsidR="00AE59D7">
        <w:rPr>
          <w:sz w:val="18"/>
          <w:szCs w:val="20"/>
        </w:rPr>
        <w:t>var</w:t>
      </w:r>
      <w:r w:rsidR="00620680">
        <w:rPr>
          <w:sz w:val="18"/>
          <w:szCs w:val="20"/>
        </w:rPr>
        <w:t xml:space="preserve"> </w:t>
      </w:r>
      <w:r w:rsidR="00AE59D7">
        <w:rPr>
          <w:sz w:val="18"/>
          <w:szCs w:val="20"/>
        </w:rPr>
        <w:t>olan</w:t>
      </w:r>
      <w:r w:rsidR="00DE62BB" w:rsidRPr="00BD2BC6">
        <w:rPr>
          <w:sz w:val="18"/>
          <w:szCs w:val="20"/>
        </w:rPr>
        <w:t xml:space="preserve"> kanıtların ötesine de geçmemelidir. Mahkeme, mevcut olan kanıtı değerlendirme ve ona uygun ağırlığı verme yetkisini haizdir.</w:t>
      </w:r>
    </w:p>
    <w:p w:rsidR="003851A0" w:rsidRPr="00BD2BC6" w:rsidRDefault="00DE62BB">
      <w:pPr>
        <w:pStyle w:val="ListeParagraf"/>
        <w:numPr>
          <w:ilvl w:val="0"/>
          <w:numId w:val="3"/>
        </w:numPr>
        <w:tabs>
          <w:tab w:val="left" w:pos="808"/>
        </w:tabs>
        <w:spacing w:before="108" w:line="249" w:lineRule="auto"/>
        <w:ind w:right="137"/>
        <w:jc w:val="both"/>
        <w:rPr>
          <w:sz w:val="18"/>
          <w:szCs w:val="20"/>
        </w:rPr>
      </w:pPr>
      <w:r w:rsidRPr="00BD2BC6">
        <w:rPr>
          <w:sz w:val="18"/>
          <w:szCs w:val="20"/>
        </w:rPr>
        <w:t xml:space="preserve">Meblağa ilişkin kanıtların elde edilme olanaklarının arttırılması ve hak sahibinin gizli bilgilerinin (ve ihlal eden tarafın da gizli bilgilerinin) gizliliğinin korunması için etkin yöntemler öngörülmesi suretiyle, mahkemeler, zarar hakkında daha </w:t>
      </w:r>
      <w:r w:rsidR="00620680">
        <w:rPr>
          <w:sz w:val="18"/>
          <w:szCs w:val="20"/>
        </w:rPr>
        <w:t>iyi</w:t>
      </w:r>
      <w:r w:rsidRPr="00BD2BC6">
        <w:rPr>
          <w:sz w:val="18"/>
          <w:szCs w:val="20"/>
        </w:rPr>
        <w:t xml:space="preserve"> </w:t>
      </w:r>
      <w:r w:rsidR="00DF6324">
        <w:rPr>
          <w:sz w:val="18"/>
          <w:szCs w:val="20"/>
        </w:rPr>
        <w:t>maddi</w:t>
      </w:r>
      <w:r w:rsidRPr="00BD2BC6">
        <w:rPr>
          <w:sz w:val="18"/>
          <w:szCs w:val="20"/>
        </w:rPr>
        <w:t xml:space="preserve"> kanıtlara sahip olabilirler.</w:t>
      </w:r>
    </w:p>
    <w:p w:rsidR="003851A0" w:rsidRPr="00BD2BC6" w:rsidRDefault="00DE62BB">
      <w:pPr>
        <w:pStyle w:val="ListeParagraf"/>
        <w:numPr>
          <w:ilvl w:val="0"/>
          <w:numId w:val="3"/>
        </w:numPr>
        <w:tabs>
          <w:tab w:val="left" w:pos="808"/>
        </w:tabs>
        <w:spacing w:before="110" w:line="247" w:lineRule="auto"/>
        <w:ind w:right="135"/>
        <w:jc w:val="both"/>
        <w:rPr>
          <w:sz w:val="18"/>
          <w:szCs w:val="20"/>
        </w:rPr>
      </w:pPr>
      <w:r w:rsidRPr="00BD2BC6">
        <w:rPr>
          <w:sz w:val="18"/>
          <w:szCs w:val="20"/>
        </w:rPr>
        <w:t>AIPPI Ulusal ve Bölgesel Gruplarından işbu Karara ilişkin ulusal ve bölgesel yasalarla ilgili ayrıntılı bilgi ve analizler sunan 40 adet Rapor alınmıştır. Bu Raporlar, AIPPI Genel Raportör Ekibi tarafından incelenmiş olup, bir Özet Rapor haline getirilmiştir (aşağıdaki bağlantılara bakınız).</w:t>
      </w:r>
    </w:p>
    <w:p w:rsidR="003851A0" w:rsidRPr="00BD2BC6" w:rsidRDefault="00DE62BB">
      <w:pPr>
        <w:pStyle w:val="ListeParagraf"/>
        <w:numPr>
          <w:ilvl w:val="0"/>
          <w:numId w:val="3"/>
        </w:numPr>
        <w:tabs>
          <w:tab w:val="left" w:pos="808"/>
        </w:tabs>
        <w:spacing w:before="115" w:line="247" w:lineRule="auto"/>
        <w:ind w:right="137"/>
        <w:jc w:val="both"/>
        <w:rPr>
          <w:sz w:val="18"/>
          <w:szCs w:val="20"/>
        </w:rPr>
      </w:pPr>
      <w:r w:rsidRPr="00BD2BC6">
        <w:rPr>
          <w:sz w:val="18"/>
          <w:szCs w:val="20"/>
        </w:rPr>
        <w:t>Bu Kararın konusu, Ekim 2017'de Sydney’de yapılan AIPPI Dünya Kongresinde özel bir Çalışma Komitesi bünyesinde ve yine bir tam katılımlı Genel Oturumda daha detaylı olarak görüşülmüş</w:t>
      </w:r>
      <w:r w:rsidR="00F206E3">
        <w:rPr>
          <w:sz w:val="18"/>
          <w:szCs w:val="20"/>
        </w:rPr>
        <w:t xml:space="preserve"> olup;</w:t>
      </w:r>
      <w:r w:rsidRPr="00BD2BC6">
        <w:rPr>
          <w:sz w:val="18"/>
          <w:szCs w:val="20"/>
        </w:rPr>
        <w:t xml:space="preserve"> akabinde AIPPI Yürütme Komitesi tarafından mevcut Karar alınmıştır.</w:t>
      </w:r>
    </w:p>
    <w:p w:rsidR="003851A0" w:rsidRPr="00BD2BC6" w:rsidRDefault="00DE62BB">
      <w:pPr>
        <w:pStyle w:val="ListeParagraf"/>
        <w:numPr>
          <w:ilvl w:val="0"/>
          <w:numId w:val="3"/>
        </w:numPr>
        <w:tabs>
          <w:tab w:val="left" w:pos="808"/>
        </w:tabs>
        <w:spacing w:before="111" w:line="249" w:lineRule="auto"/>
        <w:ind w:right="137"/>
        <w:jc w:val="both"/>
        <w:rPr>
          <w:sz w:val="18"/>
          <w:szCs w:val="20"/>
        </w:rPr>
      </w:pPr>
      <w:r w:rsidRPr="00BD2BC6">
        <w:rPr>
          <w:sz w:val="18"/>
          <w:szCs w:val="20"/>
        </w:rPr>
        <w:t xml:space="preserve">Bu Kararla sonuçlanan çalışma, </w:t>
      </w:r>
      <w:r w:rsidR="00F206E3">
        <w:rPr>
          <w:sz w:val="18"/>
          <w:szCs w:val="20"/>
        </w:rPr>
        <w:t>mütecaviz</w:t>
      </w:r>
      <w:r w:rsidRPr="00BD2BC6">
        <w:rPr>
          <w:sz w:val="18"/>
          <w:szCs w:val="20"/>
        </w:rPr>
        <w:t xml:space="preserve"> satışların sonuçlarına odaklanmıştır. Satışlar haricindeki </w:t>
      </w:r>
      <w:r w:rsidR="001F0E96">
        <w:rPr>
          <w:sz w:val="18"/>
          <w:szCs w:val="20"/>
        </w:rPr>
        <w:t>mütecaviz</w:t>
      </w:r>
      <w:r w:rsidRPr="00BD2BC6">
        <w:rPr>
          <w:sz w:val="18"/>
          <w:szCs w:val="20"/>
        </w:rPr>
        <w:t xml:space="preserve"> fiillere ilişkin maddi telafinin tutarının belirl</w:t>
      </w:r>
      <w:r w:rsidR="001F0E96">
        <w:rPr>
          <w:sz w:val="18"/>
          <w:szCs w:val="20"/>
        </w:rPr>
        <w:t>enmesi, AIPPI tarafından geleceğe yönelik bir</w:t>
      </w:r>
      <w:r w:rsidRPr="00BD2BC6">
        <w:rPr>
          <w:sz w:val="18"/>
          <w:szCs w:val="20"/>
        </w:rPr>
        <w:t xml:space="preserve"> çalışma konusu olarak değerlendirilmelidir.</w:t>
      </w:r>
    </w:p>
    <w:p w:rsidR="003851A0" w:rsidRPr="00BD2BC6" w:rsidRDefault="003851A0">
      <w:pPr>
        <w:pStyle w:val="GvdeMetni"/>
        <w:spacing w:before="6"/>
        <w:rPr>
          <w:sz w:val="18"/>
          <w:szCs w:val="18"/>
        </w:rPr>
      </w:pPr>
    </w:p>
    <w:p w:rsidR="003851A0" w:rsidRPr="00BD2BC6" w:rsidRDefault="00DE62BB">
      <w:pPr>
        <w:pStyle w:val="Balk1"/>
        <w:rPr>
          <w:sz w:val="18"/>
          <w:szCs w:val="18"/>
        </w:rPr>
      </w:pPr>
      <w:r w:rsidRPr="00BD2BC6">
        <w:rPr>
          <w:sz w:val="18"/>
          <w:szCs w:val="18"/>
        </w:rPr>
        <w:t>AIPPI aşağıdaki kararları almıştır:</w:t>
      </w:r>
    </w:p>
    <w:p w:rsidR="003851A0" w:rsidRPr="00BD2BC6" w:rsidRDefault="003851A0">
      <w:pPr>
        <w:pStyle w:val="GvdeMetni"/>
        <w:spacing w:before="3"/>
        <w:rPr>
          <w:b/>
          <w:szCs w:val="18"/>
        </w:rPr>
      </w:pPr>
    </w:p>
    <w:p w:rsidR="003851A0" w:rsidRPr="00BD2BC6" w:rsidRDefault="00DE62BB" w:rsidP="00D2403A">
      <w:pPr>
        <w:pStyle w:val="ListeParagraf"/>
        <w:numPr>
          <w:ilvl w:val="0"/>
          <w:numId w:val="2"/>
        </w:numPr>
        <w:tabs>
          <w:tab w:val="left" w:pos="807"/>
          <w:tab w:val="left" w:pos="808"/>
        </w:tabs>
        <w:jc w:val="both"/>
        <w:rPr>
          <w:sz w:val="18"/>
          <w:szCs w:val="20"/>
        </w:rPr>
      </w:pPr>
      <w:r w:rsidRPr="00BD2BC6">
        <w:rPr>
          <w:sz w:val="18"/>
          <w:szCs w:val="20"/>
        </w:rPr>
        <w:t>Tazminat, hak sahibini aşağıdaki konularda/şekilde tazmin etmelidir:</w:t>
      </w:r>
    </w:p>
    <w:p w:rsidR="003851A0" w:rsidRPr="00BD2BC6" w:rsidRDefault="003851A0" w:rsidP="00D2403A">
      <w:pPr>
        <w:pStyle w:val="GvdeMetni"/>
        <w:spacing w:before="5"/>
        <w:jc w:val="both"/>
        <w:rPr>
          <w:szCs w:val="18"/>
        </w:rPr>
      </w:pPr>
    </w:p>
    <w:p w:rsidR="003851A0" w:rsidRPr="00BD2BC6" w:rsidRDefault="00DE62BB" w:rsidP="00D2403A">
      <w:pPr>
        <w:pStyle w:val="ListeParagraf"/>
        <w:numPr>
          <w:ilvl w:val="1"/>
          <w:numId w:val="2"/>
        </w:numPr>
        <w:tabs>
          <w:tab w:val="left" w:pos="1483"/>
          <w:tab w:val="left" w:pos="1485"/>
        </w:tabs>
        <w:spacing w:line="244" w:lineRule="auto"/>
        <w:ind w:right="11"/>
        <w:jc w:val="both"/>
        <w:rPr>
          <w:sz w:val="18"/>
          <w:szCs w:val="20"/>
        </w:rPr>
      </w:pPr>
      <w:r w:rsidRPr="00BD2BC6">
        <w:rPr>
          <w:sz w:val="18"/>
          <w:szCs w:val="20"/>
        </w:rPr>
        <w:t>hak sahibinin</w:t>
      </w:r>
      <w:r w:rsidR="00686699">
        <w:rPr>
          <w:sz w:val="18"/>
          <w:szCs w:val="20"/>
        </w:rPr>
        <w:t>, tecavüz</w:t>
      </w:r>
      <w:r w:rsidRPr="00BD2BC6">
        <w:rPr>
          <w:sz w:val="18"/>
          <w:szCs w:val="20"/>
        </w:rPr>
        <w:t xml:space="preserve"> söz konusu olmasa idi elde etmiş olacağı, mal veya hizmet satışlarına ilişkin </w:t>
      </w:r>
      <w:r w:rsidR="000F7854">
        <w:rPr>
          <w:sz w:val="18"/>
          <w:szCs w:val="20"/>
        </w:rPr>
        <w:t>kayı</w:t>
      </w:r>
      <w:r w:rsidRPr="00BD2BC6">
        <w:rPr>
          <w:sz w:val="18"/>
          <w:szCs w:val="20"/>
        </w:rPr>
        <w:t xml:space="preserve"> kârına ilişkin olarak ve/veya</w:t>
      </w:r>
    </w:p>
    <w:p w:rsidR="003851A0" w:rsidRPr="00BD2BC6" w:rsidRDefault="003851A0" w:rsidP="00D2403A">
      <w:pPr>
        <w:pStyle w:val="GvdeMetni"/>
        <w:ind w:right="11"/>
        <w:jc w:val="both"/>
        <w:rPr>
          <w:szCs w:val="18"/>
        </w:rPr>
      </w:pPr>
    </w:p>
    <w:p w:rsidR="003851A0" w:rsidRPr="00BD2BC6" w:rsidRDefault="0016532A" w:rsidP="00D2403A">
      <w:pPr>
        <w:pStyle w:val="ListeParagraf"/>
        <w:numPr>
          <w:ilvl w:val="1"/>
          <w:numId w:val="2"/>
        </w:numPr>
        <w:tabs>
          <w:tab w:val="left" w:pos="1483"/>
          <w:tab w:val="left" w:pos="1485"/>
        </w:tabs>
        <w:spacing w:before="1"/>
        <w:ind w:right="11"/>
        <w:jc w:val="both"/>
        <w:rPr>
          <w:sz w:val="18"/>
          <w:szCs w:val="20"/>
        </w:rPr>
      </w:pPr>
      <w:r>
        <w:rPr>
          <w:sz w:val="18"/>
          <w:szCs w:val="20"/>
        </w:rPr>
        <w:t>fiyat erozyonu sebebi ile</w:t>
      </w:r>
      <w:r w:rsidR="000F7854">
        <w:rPr>
          <w:sz w:val="18"/>
          <w:szCs w:val="20"/>
        </w:rPr>
        <w:t xml:space="preserve"> kayıp</w:t>
      </w:r>
      <w:r w:rsidR="00DE62BB" w:rsidRPr="00BD2BC6">
        <w:rPr>
          <w:sz w:val="18"/>
          <w:szCs w:val="20"/>
        </w:rPr>
        <w:t xml:space="preserve"> kâr</w:t>
      </w:r>
      <w:r w:rsidR="000F7854">
        <w:rPr>
          <w:sz w:val="18"/>
          <w:szCs w:val="20"/>
        </w:rPr>
        <w:t>ına</w:t>
      </w:r>
      <w:r w:rsidR="00DE62BB" w:rsidRPr="00BD2BC6">
        <w:rPr>
          <w:sz w:val="18"/>
          <w:szCs w:val="20"/>
        </w:rPr>
        <w:t xml:space="preserve"> ilişkin olarak ve/veya</w:t>
      </w:r>
    </w:p>
    <w:p w:rsidR="003851A0" w:rsidRPr="00BD2BC6" w:rsidRDefault="003851A0" w:rsidP="00D2403A">
      <w:pPr>
        <w:pStyle w:val="GvdeMetni"/>
        <w:spacing w:before="3"/>
        <w:ind w:right="11"/>
        <w:jc w:val="both"/>
        <w:rPr>
          <w:szCs w:val="18"/>
        </w:rPr>
      </w:pPr>
    </w:p>
    <w:p w:rsidR="003851A0" w:rsidRPr="00BD2BC6" w:rsidRDefault="00DE62BB" w:rsidP="00D2403A">
      <w:pPr>
        <w:pStyle w:val="ListeParagraf"/>
        <w:numPr>
          <w:ilvl w:val="1"/>
          <w:numId w:val="2"/>
        </w:numPr>
        <w:tabs>
          <w:tab w:val="left" w:pos="1483"/>
          <w:tab w:val="left" w:pos="1484"/>
        </w:tabs>
        <w:spacing w:before="1" w:line="247" w:lineRule="auto"/>
        <w:ind w:right="11"/>
        <w:jc w:val="both"/>
        <w:rPr>
          <w:sz w:val="18"/>
          <w:szCs w:val="20"/>
        </w:rPr>
      </w:pPr>
      <w:r w:rsidRPr="00BD2BC6">
        <w:rPr>
          <w:sz w:val="18"/>
          <w:szCs w:val="20"/>
        </w:rPr>
        <w:t xml:space="preserve">hak sahibinin zayi olan satışları olduğu kanıtlanmayan </w:t>
      </w:r>
      <w:r w:rsidR="0016532A">
        <w:rPr>
          <w:sz w:val="18"/>
          <w:szCs w:val="20"/>
        </w:rPr>
        <w:t>mütecaviz</w:t>
      </w:r>
      <w:r w:rsidRPr="00BD2BC6">
        <w:rPr>
          <w:sz w:val="18"/>
          <w:szCs w:val="20"/>
        </w:rPr>
        <w:t xml:space="preserve"> satışlara ilişkin makul bir </w:t>
      </w:r>
      <w:r w:rsidR="00D40152">
        <w:rPr>
          <w:sz w:val="18"/>
          <w:szCs w:val="20"/>
        </w:rPr>
        <w:t>lisans bedeli</w:t>
      </w:r>
      <w:r w:rsidRPr="00BD2BC6">
        <w:rPr>
          <w:sz w:val="18"/>
          <w:szCs w:val="20"/>
        </w:rPr>
        <w:t xml:space="preserve"> yoluyla.</w:t>
      </w:r>
    </w:p>
    <w:p w:rsidR="003851A0" w:rsidRPr="00BD2BC6" w:rsidRDefault="003851A0" w:rsidP="00D2403A">
      <w:pPr>
        <w:pStyle w:val="GvdeMetni"/>
        <w:spacing w:before="8"/>
        <w:ind w:right="11"/>
        <w:jc w:val="both"/>
        <w:rPr>
          <w:sz w:val="18"/>
          <w:szCs w:val="18"/>
        </w:rPr>
      </w:pPr>
    </w:p>
    <w:p w:rsidR="003851A0" w:rsidRPr="00BD2BC6" w:rsidRDefault="00DE62BB" w:rsidP="00D2403A">
      <w:pPr>
        <w:pStyle w:val="GvdeMetni"/>
        <w:ind w:left="807"/>
        <w:jc w:val="both"/>
        <w:rPr>
          <w:sz w:val="18"/>
          <w:szCs w:val="18"/>
        </w:rPr>
      </w:pPr>
      <w:r w:rsidRPr="00BD2BC6">
        <w:rPr>
          <w:sz w:val="18"/>
          <w:szCs w:val="18"/>
        </w:rPr>
        <w:t>Ancak hak sahibi, aynı zarar</w:t>
      </w:r>
      <w:r w:rsidR="0007228A">
        <w:rPr>
          <w:sz w:val="18"/>
          <w:szCs w:val="18"/>
        </w:rPr>
        <w:t>ı</w:t>
      </w:r>
      <w:r w:rsidR="00D2403A">
        <w:rPr>
          <w:sz w:val="18"/>
          <w:szCs w:val="18"/>
        </w:rPr>
        <w:t xml:space="preserve"> </w:t>
      </w:r>
      <w:r w:rsidRPr="00BD2BC6">
        <w:rPr>
          <w:sz w:val="18"/>
          <w:szCs w:val="18"/>
        </w:rPr>
        <w:t>iki kez tazmin edemez.</w:t>
      </w:r>
    </w:p>
    <w:p w:rsidR="003851A0" w:rsidRPr="00BD2BC6" w:rsidRDefault="003851A0" w:rsidP="00D2403A">
      <w:pPr>
        <w:pStyle w:val="GvdeMetni"/>
        <w:spacing w:before="3"/>
        <w:jc w:val="both"/>
        <w:rPr>
          <w:szCs w:val="18"/>
        </w:rPr>
      </w:pPr>
    </w:p>
    <w:p w:rsidR="003851A0" w:rsidRPr="00BD2BC6" w:rsidRDefault="00466AE9" w:rsidP="00D2403A">
      <w:pPr>
        <w:pStyle w:val="ListeParagraf"/>
        <w:numPr>
          <w:ilvl w:val="0"/>
          <w:numId w:val="2"/>
        </w:numPr>
        <w:tabs>
          <w:tab w:val="left" w:pos="807"/>
          <w:tab w:val="left" w:pos="808"/>
        </w:tabs>
        <w:spacing w:line="249" w:lineRule="auto"/>
        <w:ind w:right="153"/>
        <w:jc w:val="both"/>
        <w:rPr>
          <w:sz w:val="18"/>
          <w:szCs w:val="20"/>
        </w:rPr>
      </w:pPr>
      <w:r>
        <w:rPr>
          <w:sz w:val="18"/>
          <w:szCs w:val="20"/>
        </w:rPr>
        <w:t>Kayıp</w:t>
      </w:r>
      <w:r w:rsidR="00DE62BB" w:rsidRPr="00BD2BC6">
        <w:rPr>
          <w:sz w:val="18"/>
          <w:szCs w:val="20"/>
        </w:rPr>
        <w:t xml:space="preserve"> kârı belirlerken, mahkemeler, söz konusu hesaplama işleminin doğası gereği tahmini bir işlem olduğunu kabul etmeli ve mevcut olan kanıtlara dayanarak hüküm vermeye hazırlıklı olmalı ve hak sahibinin tüm </w:t>
      </w:r>
      <w:r>
        <w:rPr>
          <w:sz w:val="18"/>
          <w:szCs w:val="20"/>
        </w:rPr>
        <w:t>zararının</w:t>
      </w:r>
      <w:r w:rsidR="00DE62BB" w:rsidRPr="00BD2BC6">
        <w:rPr>
          <w:sz w:val="18"/>
          <w:szCs w:val="20"/>
        </w:rPr>
        <w:t xml:space="preserve"> tazmin edilmesini sağlamayı amaçlamalıdır.</w:t>
      </w:r>
    </w:p>
    <w:p w:rsidR="003851A0" w:rsidRPr="00BD2BC6" w:rsidRDefault="003851A0" w:rsidP="00D2403A">
      <w:pPr>
        <w:pStyle w:val="GvdeMetni"/>
        <w:spacing w:before="6"/>
        <w:ind w:right="153"/>
        <w:jc w:val="both"/>
        <w:rPr>
          <w:sz w:val="18"/>
          <w:szCs w:val="18"/>
        </w:rPr>
      </w:pPr>
    </w:p>
    <w:p w:rsidR="003851A0" w:rsidRPr="00BD2BC6" w:rsidRDefault="00466AE9" w:rsidP="00D2403A">
      <w:pPr>
        <w:pStyle w:val="ListeParagraf"/>
        <w:numPr>
          <w:ilvl w:val="0"/>
          <w:numId w:val="2"/>
        </w:numPr>
        <w:tabs>
          <w:tab w:val="left" w:pos="808"/>
        </w:tabs>
        <w:spacing w:line="247" w:lineRule="auto"/>
        <w:ind w:right="153"/>
        <w:jc w:val="both"/>
        <w:rPr>
          <w:sz w:val="18"/>
          <w:szCs w:val="20"/>
        </w:rPr>
      </w:pPr>
      <w:r>
        <w:rPr>
          <w:sz w:val="18"/>
          <w:szCs w:val="20"/>
        </w:rPr>
        <w:t>Kayıp</w:t>
      </w:r>
      <w:r w:rsidR="00DE62BB" w:rsidRPr="00BD2BC6">
        <w:rPr>
          <w:sz w:val="18"/>
          <w:szCs w:val="20"/>
        </w:rPr>
        <w:t xml:space="preserve"> kâr, aşağıdakiler dahil ancak bunlarla sınırlı kalmaksızın ilgili şartlar hesaba katılarak hesaplanmalıdır:</w:t>
      </w:r>
    </w:p>
    <w:p w:rsidR="003851A0" w:rsidRPr="00BD2BC6" w:rsidRDefault="003851A0" w:rsidP="00D2403A">
      <w:pPr>
        <w:pStyle w:val="GvdeMetni"/>
        <w:spacing w:before="8"/>
        <w:ind w:right="153"/>
        <w:jc w:val="both"/>
        <w:rPr>
          <w:sz w:val="18"/>
          <w:szCs w:val="18"/>
        </w:rPr>
      </w:pPr>
    </w:p>
    <w:p w:rsidR="00B215A0" w:rsidRDefault="00DE62BB" w:rsidP="00466AE9">
      <w:pPr>
        <w:pStyle w:val="ListeParagraf"/>
        <w:numPr>
          <w:ilvl w:val="1"/>
          <w:numId w:val="2"/>
        </w:numPr>
        <w:tabs>
          <w:tab w:val="left" w:pos="1483"/>
          <w:tab w:val="left" w:pos="1485"/>
        </w:tabs>
        <w:ind w:right="153"/>
        <w:jc w:val="both"/>
        <w:rPr>
          <w:sz w:val="18"/>
          <w:szCs w:val="20"/>
        </w:rPr>
      </w:pPr>
      <w:r w:rsidRPr="00BD2BC6">
        <w:rPr>
          <w:sz w:val="18"/>
          <w:szCs w:val="20"/>
        </w:rPr>
        <w:t>tarafların rakip ürün veya hizmetleri arasındaki benzerlik ve farklılıklar (örneğin; tasarım, kalite, fiyat, satış kanalları);</w:t>
      </w:r>
    </w:p>
    <w:p w:rsidR="00B215A0" w:rsidRDefault="00B215A0" w:rsidP="00466AE9">
      <w:pPr>
        <w:pStyle w:val="ListeParagraf"/>
        <w:tabs>
          <w:tab w:val="left" w:pos="1483"/>
          <w:tab w:val="left" w:pos="1485"/>
        </w:tabs>
        <w:ind w:left="1484" w:right="153" w:firstLine="0"/>
        <w:rPr>
          <w:sz w:val="18"/>
          <w:szCs w:val="20"/>
        </w:rPr>
      </w:pPr>
    </w:p>
    <w:p w:rsidR="00D2403A" w:rsidRPr="00B215A0" w:rsidRDefault="00D2403A" w:rsidP="00466AE9">
      <w:pPr>
        <w:pStyle w:val="ListeParagraf"/>
        <w:numPr>
          <w:ilvl w:val="1"/>
          <w:numId w:val="2"/>
        </w:numPr>
        <w:tabs>
          <w:tab w:val="left" w:pos="1483"/>
          <w:tab w:val="left" w:pos="1485"/>
        </w:tabs>
        <w:ind w:right="153"/>
        <w:jc w:val="both"/>
        <w:rPr>
          <w:sz w:val="18"/>
          <w:szCs w:val="20"/>
        </w:rPr>
      </w:pPr>
      <w:r w:rsidRPr="00B215A0">
        <w:rPr>
          <w:sz w:val="18"/>
          <w:szCs w:val="20"/>
        </w:rPr>
        <w:t>piyasada diğer ikame edilebilir ürün veya hizmetlerin mevcudiyeti;</w:t>
      </w:r>
    </w:p>
    <w:p w:rsidR="00D2403A" w:rsidRPr="00BD2BC6" w:rsidRDefault="00D2403A" w:rsidP="00466AE9">
      <w:pPr>
        <w:pStyle w:val="GvdeMetni"/>
        <w:jc w:val="both"/>
        <w:rPr>
          <w:szCs w:val="18"/>
        </w:rPr>
      </w:pPr>
    </w:p>
    <w:p w:rsidR="00D2403A" w:rsidRPr="00BD2BC6" w:rsidRDefault="00D2403A" w:rsidP="00466AE9">
      <w:pPr>
        <w:pStyle w:val="ListeParagraf"/>
        <w:numPr>
          <w:ilvl w:val="1"/>
          <w:numId w:val="2"/>
        </w:numPr>
        <w:tabs>
          <w:tab w:val="left" w:pos="1483"/>
          <w:tab w:val="left" w:pos="1484"/>
        </w:tabs>
        <w:ind w:left="1483" w:hanging="676"/>
        <w:jc w:val="both"/>
        <w:rPr>
          <w:sz w:val="18"/>
          <w:szCs w:val="20"/>
        </w:rPr>
      </w:pPr>
      <w:r w:rsidRPr="00BD2BC6">
        <w:rPr>
          <w:sz w:val="18"/>
          <w:szCs w:val="20"/>
        </w:rPr>
        <w:t>hak sahibinin piyasa talebini karşılama kapasitesi;</w:t>
      </w:r>
    </w:p>
    <w:p w:rsidR="00D2403A" w:rsidRPr="00BD2BC6" w:rsidRDefault="00D2403A" w:rsidP="00466AE9">
      <w:pPr>
        <w:pStyle w:val="GvdeMetni"/>
        <w:jc w:val="both"/>
        <w:rPr>
          <w:szCs w:val="18"/>
        </w:rPr>
      </w:pPr>
    </w:p>
    <w:p w:rsidR="00D2403A" w:rsidRPr="00BD2BC6" w:rsidRDefault="00D2403A" w:rsidP="00466AE9">
      <w:pPr>
        <w:pStyle w:val="ListeParagraf"/>
        <w:numPr>
          <w:ilvl w:val="1"/>
          <w:numId w:val="2"/>
        </w:numPr>
        <w:tabs>
          <w:tab w:val="left" w:pos="1483"/>
          <w:tab w:val="left" w:pos="1484"/>
        </w:tabs>
        <w:ind w:left="1483" w:hanging="676"/>
        <w:jc w:val="both"/>
        <w:rPr>
          <w:sz w:val="18"/>
          <w:szCs w:val="20"/>
        </w:rPr>
      </w:pPr>
      <w:r w:rsidRPr="00BD2BC6">
        <w:rPr>
          <w:sz w:val="18"/>
          <w:szCs w:val="20"/>
        </w:rPr>
        <w:t>tarafların satışları, hizmetleri ve sağladıkları garantiler;</w:t>
      </w:r>
    </w:p>
    <w:p w:rsidR="00D2403A" w:rsidRPr="00BD2BC6" w:rsidRDefault="00D2403A" w:rsidP="00466AE9">
      <w:pPr>
        <w:pStyle w:val="GvdeMetni"/>
        <w:jc w:val="both"/>
        <w:rPr>
          <w:szCs w:val="18"/>
        </w:rPr>
      </w:pPr>
    </w:p>
    <w:p w:rsidR="00D2403A" w:rsidRPr="00BD2BC6" w:rsidRDefault="00D2403A" w:rsidP="00466AE9">
      <w:pPr>
        <w:pStyle w:val="ListeParagraf"/>
        <w:numPr>
          <w:ilvl w:val="1"/>
          <w:numId w:val="2"/>
        </w:numPr>
        <w:tabs>
          <w:tab w:val="left" w:pos="1483"/>
          <w:tab w:val="left" w:pos="1485"/>
        </w:tabs>
        <w:jc w:val="both"/>
        <w:rPr>
          <w:sz w:val="18"/>
          <w:szCs w:val="20"/>
        </w:rPr>
      </w:pPr>
      <w:r w:rsidRPr="00BD2BC6">
        <w:rPr>
          <w:sz w:val="18"/>
          <w:szCs w:val="20"/>
        </w:rPr>
        <w:t>coğrafi kapsam;</w:t>
      </w:r>
    </w:p>
    <w:p w:rsidR="00D2403A" w:rsidRPr="00BD2BC6" w:rsidRDefault="00D2403A" w:rsidP="00466AE9">
      <w:pPr>
        <w:pStyle w:val="GvdeMetni"/>
        <w:jc w:val="both"/>
        <w:rPr>
          <w:szCs w:val="18"/>
        </w:rPr>
      </w:pPr>
    </w:p>
    <w:p w:rsidR="00D2403A" w:rsidRPr="00BD2BC6" w:rsidRDefault="00D2403A" w:rsidP="00466AE9">
      <w:pPr>
        <w:pStyle w:val="ListeParagraf"/>
        <w:numPr>
          <w:ilvl w:val="1"/>
          <w:numId w:val="2"/>
        </w:numPr>
        <w:tabs>
          <w:tab w:val="left" w:pos="1483"/>
          <w:tab w:val="left" w:pos="1484"/>
        </w:tabs>
        <w:ind w:left="1483" w:hanging="676"/>
        <w:jc w:val="both"/>
        <w:rPr>
          <w:sz w:val="18"/>
          <w:szCs w:val="20"/>
        </w:rPr>
      </w:pPr>
      <w:r w:rsidRPr="00BD2BC6">
        <w:rPr>
          <w:sz w:val="18"/>
          <w:szCs w:val="20"/>
        </w:rPr>
        <w:t>tarafların piyasadaki itibarları;</w:t>
      </w:r>
    </w:p>
    <w:p w:rsidR="00D2403A" w:rsidRPr="00BD2BC6" w:rsidRDefault="00D2403A" w:rsidP="00466AE9">
      <w:pPr>
        <w:pStyle w:val="GvdeMetni"/>
        <w:jc w:val="both"/>
        <w:rPr>
          <w:szCs w:val="18"/>
        </w:rPr>
      </w:pPr>
    </w:p>
    <w:p w:rsidR="00D2403A" w:rsidRPr="00BD2BC6" w:rsidRDefault="00D2403A" w:rsidP="00466AE9">
      <w:pPr>
        <w:pStyle w:val="ListeParagraf"/>
        <w:numPr>
          <w:ilvl w:val="1"/>
          <w:numId w:val="2"/>
        </w:numPr>
        <w:tabs>
          <w:tab w:val="left" w:pos="1483"/>
          <w:tab w:val="left" w:pos="1485"/>
        </w:tabs>
        <w:jc w:val="both"/>
        <w:rPr>
          <w:sz w:val="18"/>
          <w:szCs w:val="20"/>
        </w:rPr>
      </w:pPr>
      <w:r w:rsidRPr="00BD2BC6">
        <w:rPr>
          <w:sz w:val="18"/>
          <w:szCs w:val="20"/>
        </w:rPr>
        <w:t>reklam harcamaları;</w:t>
      </w:r>
    </w:p>
    <w:p w:rsidR="00D2403A" w:rsidRPr="00BD2BC6" w:rsidRDefault="00D2403A" w:rsidP="00466AE9">
      <w:pPr>
        <w:pStyle w:val="GvdeMetni"/>
        <w:jc w:val="both"/>
        <w:rPr>
          <w:szCs w:val="18"/>
        </w:rPr>
      </w:pPr>
    </w:p>
    <w:p w:rsidR="00D2403A" w:rsidRPr="00BD2BC6" w:rsidRDefault="00D2403A" w:rsidP="00466AE9">
      <w:pPr>
        <w:pStyle w:val="ListeParagraf"/>
        <w:numPr>
          <w:ilvl w:val="1"/>
          <w:numId w:val="2"/>
        </w:numPr>
        <w:tabs>
          <w:tab w:val="left" w:pos="1483"/>
          <w:tab w:val="left" w:pos="1485"/>
        </w:tabs>
        <w:jc w:val="both"/>
        <w:rPr>
          <w:sz w:val="18"/>
          <w:szCs w:val="20"/>
        </w:rPr>
      </w:pPr>
      <w:r w:rsidRPr="00BD2BC6">
        <w:rPr>
          <w:sz w:val="18"/>
          <w:szCs w:val="20"/>
        </w:rPr>
        <w:t>ürün fiyatları veya hizmet ücretleri;</w:t>
      </w:r>
    </w:p>
    <w:p w:rsidR="00D2403A" w:rsidRPr="00BD2BC6" w:rsidRDefault="00D2403A" w:rsidP="00466AE9">
      <w:pPr>
        <w:pStyle w:val="GvdeMetni"/>
        <w:jc w:val="both"/>
        <w:rPr>
          <w:szCs w:val="18"/>
        </w:rPr>
      </w:pPr>
    </w:p>
    <w:p w:rsidR="00D2403A" w:rsidRPr="00BD2BC6" w:rsidRDefault="00C424CD" w:rsidP="00466AE9">
      <w:pPr>
        <w:pStyle w:val="ListeParagraf"/>
        <w:numPr>
          <w:ilvl w:val="1"/>
          <w:numId w:val="2"/>
        </w:numPr>
        <w:tabs>
          <w:tab w:val="left" w:pos="1483"/>
          <w:tab w:val="left" w:pos="1485"/>
        </w:tabs>
        <w:ind w:right="626"/>
        <w:jc w:val="both"/>
        <w:rPr>
          <w:sz w:val="18"/>
          <w:szCs w:val="20"/>
        </w:rPr>
      </w:pPr>
      <w:r>
        <w:rPr>
          <w:sz w:val="18"/>
          <w:szCs w:val="20"/>
        </w:rPr>
        <w:lastRenderedPageBreak/>
        <w:t>mütecaviz</w:t>
      </w:r>
      <w:r w:rsidR="00D2403A" w:rsidRPr="00BD2BC6">
        <w:rPr>
          <w:sz w:val="18"/>
          <w:szCs w:val="20"/>
        </w:rPr>
        <w:t xml:space="preserve"> satışların başlamasını mü</w:t>
      </w:r>
      <w:r w:rsidR="004E617E">
        <w:rPr>
          <w:sz w:val="18"/>
          <w:szCs w:val="20"/>
        </w:rPr>
        <w:t>teakip hak sahibinin cirosunda oluşan</w:t>
      </w:r>
      <w:r w:rsidR="00D2403A" w:rsidRPr="00BD2BC6">
        <w:rPr>
          <w:sz w:val="18"/>
          <w:szCs w:val="20"/>
        </w:rPr>
        <w:t xml:space="preserve"> değişiklik.</w:t>
      </w:r>
    </w:p>
    <w:p w:rsidR="00D2403A" w:rsidRDefault="00D2403A" w:rsidP="00D2403A">
      <w:pPr>
        <w:spacing w:line="247" w:lineRule="auto"/>
        <w:ind w:right="153"/>
        <w:jc w:val="both"/>
        <w:rPr>
          <w:sz w:val="18"/>
          <w:szCs w:val="20"/>
        </w:rPr>
      </w:pPr>
    </w:p>
    <w:p w:rsidR="001926AC" w:rsidRPr="00BD2BC6" w:rsidRDefault="00514020" w:rsidP="00514020">
      <w:pPr>
        <w:pStyle w:val="ListeParagraf"/>
        <w:numPr>
          <w:ilvl w:val="0"/>
          <w:numId w:val="2"/>
        </w:numPr>
        <w:tabs>
          <w:tab w:val="left" w:pos="807"/>
          <w:tab w:val="left" w:pos="808"/>
        </w:tabs>
        <w:spacing w:before="1" w:line="247" w:lineRule="auto"/>
        <w:ind w:right="216"/>
        <w:jc w:val="both"/>
        <w:rPr>
          <w:sz w:val="18"/>
          <w:szCs w:val="20"/>
        </w:rPr>
      </w:pPr>
      <w:r>
        <w:rPr>
          <w:sz w:val="18"/>
          <w:szCs w:val="20"/>
        </w:rPr>
        <w:t>Kayıp</w:t>
      </w:r>
      <w:r w:rsidRPr="00BD2BC6">
        <w:rPr>
          <w:sz w:val="18"/>
          <w:szCs w:val="20"/>
        </w:rPr>
        <w:t xml:space="preserve"> kâr</w:t>
      </w:r>
      <w:r>
        <w:rPr>
          <w:sz w:val="18"/>
          <w:szCs w:val="20"/>
        </w:rPr>
        <w:t>ın</w:t>
      </w:r>
      <w:r w:rsidR="001926AC" w:rsidRPr="00BD2BC6">
        <w:rPr>
          <w:sz w:val="18"/>
          <w:szCs w:val="20"/>
        </w:rPr>
        <w:t xml:space="preserve"> tespiti amacıyla, ihlal eden tarafın zilyetliğinde, himayesinde veya kontrolünde bulunan, yukarıdaki 3. paragrafta atıf yapılan şartlarla ilgili kanıtlar, hak sahibinin ve mahkemenin erişimine sunulmalıdır.</w:t>
      </w:r>
    </w:p>
    <w:p w:rsidR="001926AC" w:rsidRPr="00BD2BC6" w:rsidRDefault="001926AC" w:rsidP="00514020">
      <w:pPr>
        <w:pStyle w:val="GvdeMetni"/>
        <w:spacing w:before="10"/>
        <w:jc w:val="both"/>
        <w:rPr>
          <w:sz w:val="18"/>
          <w:szCs w:val="18"/>
        </w:rPr>
      </w:pPr>
    </w:p>
    <w:p w:rsidR="001926AC" w:rsidRPr="00BD2BC6" w:rsidRDefault="001926AC" w:rsidP="00514020">
      <w:pPr>
        <w:pStyle w:val="ListeParagraf"/>
        <w:numPr>
          <w:ilvl w:val="0"/>
          <w:numId w:val="2"/>
        </w:numPr>
        <w:tabs>
          <w:tab w:val="left" w:pos="807"/>
          <w:tab w:val="left" w:pos="808"/>
        </w:tabs>
        <w:spacing w:before="1" w:line="247" w:lineRule="auto"/>
        <w:ind w:right="233"/>
        <w:jc w:val="both"/>
        <w:rPr>
          <w:sz w:val="18"/>
          <w:szCs w:val="20"/>
        </w:rPr>
      </w:pPr>
      <w:r w:rsidRPr="00BD2BC6">
        <w:rPr>
          <w:sz w:val="18"/>
          <w:szCs w:val="20"/>
        </w:rPr>
        <w:t xml:space="preserve">Tazminatın tutarının belirlenmesi amacıyla, hak sahibinin </w:t>
      </w:r>
      <w:r w:rsidR="00514020">
        <w:rPr>
          <w:sz w:val="18"/>
          <w:szCs w:val="20"/>
        </w:rPr>
        <w:t>kayıp kârı</w:t>
      </w:r>
      <w:r w:rsidRPr="00BD2BC6">
        <w:rPr>
          <w:sz w:val="18"/>
          <w:szCs w:val="20"/>
        </w:rPr>
        <w:t>, hak sahibinin satışlarından edinilen net gelirden (yani indirim ve iadeler çıkarıldıktan sonraki gelirden) hak sahibinin bu satışlara doğrudan atfedilebilen masraflarının çıkarılması suretiyle hesaplanmalıdır.</w:t>
      </w:r>
    </w:p>
    <w:p w:rsidR="001926AC" w:rsidRPr="00BD2BC6" w:rsidRDefault="001926AC" w:rsidP="00514020">
      <w:pPr>
        <w:pStyle w:val="GvdeMetni"/>
        <w:spacing w:before="8"/>
        <w:jc w:val="both"/>
        <w:rPr>
          <w:sz w:val="18"/>
          <w:szCs w:val="18"/>
        </w:rPr>
      </w:pPr>
    </w:p>
    <w:p w:rsidR="001926AC" w:rsidRPr="00BD2BC6" w:rsidRDefault="001926AC" w:rsidP="00514020">
      <w:pPr>
        <w:pStyle w:val="ListeParagraf"/>
        <w:numPr>
          <w:ilvl w:val="0"/>
          <w:numId w:val="2"/>
        </w:numPr>
        <w:tabs>
          <w:tab w:val="left" w:pos="807"/>
          <w:tab w:val="left" w:pos="808"/>
        </w:tabs>
        <w:spacing w:line="249" w:lineRule="auto"/>
        <w:ind w:right="183"/>
        <w:jc w:val="both"/>
        <w:rPr>
          <w:sz w:val="18"/>
          <w:szCs w:val="20"/>
        </w:rPr>
      </w:pPr>
      <w:r w:rsidRPr="00BD2BC6">
        <w:rPr>
          <w:sz w:val="18"/>
          <w:szCs w:val="20"/>
        </w:rPr>
        <w:t>Hak sahibinin ihlal ile zayi olan satışlar arasında bir illiyet bağının olduğunu kanıtlaması kaydıyla, hak sahibinin ihlal ile rekabet eden ancak IP hakkını içermeyen mal veya hizmetlerinin satışlarının, ihlal yüzünden zayi olduğu durumlarda da, tazminat alınabilmelidir. Mahkeme uygun tazminat tutarını değerlendirirken illiyet bağının derecesini veya ne ölçüde güçlü olduğunu hesaba katabilir.</w:t>
      </w:r>
    </w:p>
    <w:p w:rsidR="001926AC" w:rsidRPr="00BD2BC6" w:rsidRDefault="001926AC" w:rsidP="00514020">
      <w:pPr>
        <w:pStyle w:val="GvdeMetni"/>
        <w:spacing w:before="3"/>
        <w:jc w:val="both"/>
        <w:rPr>
          <w:sz w:val="18"/>
          <w:szCs w:val="18"/>
        </w:rPr>
      </w:pPr>
    </w:p>
    <w:p w:rsidR="001926AC" w:rsidRPr="00BD2BC6" w:rsidRDefault="001926AC" w:rsidP="00514020">
      <w:pPr>
        <w:pStyle w:val="ListeParagraf"/>
        <w:numPr>
          <w:ilvl w:val="0"/>
          <w:numId w:val="2"/>
        </w:numPr>
        <w:tabs>
          <w:tab w:val="left" w:pos="807"/>
          <w:tab w:val="left" w:pos="808"/>
        </w:tabs>
        <w:spacing w:line="247" w:lineRule="auto"/>
        <w:ind w:right="264"/>
        <w:jc w:val="both"/>
        <w:rPr>
          <w:sz w:val="18"/>
          <w:szCs w:val="20"/>
        </w:rPr>
      </w:pPr>
      <w:r w:rsidRPr="00BD2BC6">
        <w:rPr>
          <w:sz w:val="18"/>
          <w:szCs w:val="20"/>
        </w:rPr>
        <w:t>Bir tarafın tazminatın hesaplanmasıyla ilişkili olan ticari ve mali bilgilerinin gizliliğini ve bunları kamuya veya diğer tarafa ifşa edilmekten koruyacak mekanizmalar mevcut olmalıdır.</w:t>
      </w:r>
    </w:p>
    <w:p w:rsidR="001926AC" w:rsidRPr="00BD2BC6" w:rsidRDefault="001926AC" w:rsidP="00514020">
      <w:pPr>
        <w:pStyle w:val="GvdeMetni"/>
        <w:spacing w:before="10"/>
        <w:jc w:val="both"/>
        <w:rPr>
          <w:sz w:val="18"/>
          <w:szCs w:val="18"/>
        </w:rPr>
      </w:pPr>
    </w:p>
    <w:p w:rsidR="001926AC" w:rsidRPr="00BD2BC6" w:rsidRDefault="001926AC" w:rsidP="00514020">
      <w:pPr>
        <w:pStyle w:val="ListeParagraf"/>
        <w:numPr>
          <w:ilvl w:val="0"/>
          <w:numId w:val="2"/>
        </w:numPr>
        <w:tabs>
          <w:tab w:val="left" w:pos="807"/>
          <w:tab w:val="left" w:pos="808"/>
        </w:tabs>
        <w:spacing w:line="247" w:lineRule="auto"/>
        <w:ind w:right="207"/>
        <w:jc w:val="both"/>
        <w:rPr>
          <w:sz w:val="18"/>
          <w:szCs w:val="20"/>
        </w:rPr>
      </w:pPr>
      <w:r w:rsidRPr="00BD2BC6">
        <w:rPr>
          <w:sz w:val="18"/>
          <w:szCs w:val="20"/>
        </w:rPr>
        <w:t>Yukarıdaki 7. paragraf, uygun gizliliği koruma önlemlerinin mevcut olduğu durumlarda, ihlal eden tarafın zilyetliğinde, himayesinde veya kontrolünde bulunan kanıtların yukarıdaki 4. paragraf uyarınca ifşa edilmesini engelleme amacı taşımamaktadır.</w:t>
      </w:r>
    </w:p>
    <w:p w:rsidR="001926AC" w:rsidRPr="00BD2BC6" w:rsidRDefault="001926AC" w:rsidP="00514020">
      <w:pPr>
        <w:pStyle w:val="GvdeMetni"/>
        <w:spacing w:before="10"/>
        <w:jc w:val="both"/>
        <w:rPr>
          <w:sz w:val="18"/>
          <w:szCs w:val="18"/>
        </w:rPr>
      </w:pPr>
    </w:p>
    <w:p w:rsidR="001926AC" w:rsidRPr="00BD2BC6" w:rsidRDefault="001926AC" w:rsidP="00514020">
      <w:pPr>
        <w:pStyle w:val="ListeParagraf"/>
        <w:numPr>
          <w:ilvl w:val="0"/>
          <w:numId w:val="2"/>
        </w:numPr>
        <w:tabs>
          <w:tab w:val="left" w:pos="807"/>
          <w:tab w:val="left" w:pos="808"/>
        </w:tabs>
        <w:spacing w:line="244" w:lineRule="auto"/>
        <w:ind w:right="507"/>
        <w:jc w:val="both"/>
        <w:rPr>
          <w:sz w:val="18"/>
          <w:szCs w:val="20"/>
        </w:rPr>
      </w:pPr>
      <w:r w:rsidRPr="00BD2BC6">
        <w:rPr>
          <w:sz w:val="18"/>
          <w:szCs w:val="20"/>
        </w:rPr>
        <w:t xml:space="preserve">Bir mahkeme, makul bir </w:t>
      </w:r>
      <w:r w:rsidR="00D40152">
        <w:rPr>
          <w:sz w:val="18"/>
          <w:szCs w:val="20"/>
        </w:rPr>
        <w:t>lisans bedeli</w:t>
      </w:r>
      <w:r w:rsidR="00514020">
        <w:rPr>
          <w:sz w:val="18"/>
          <w:szCs w:val="20"/>
        </w:rPr>
        <w:t xml:space="preserve"> tespit ederken - </w:t>
      </w:r>
      <w:r w:rsidRPr="00BD2BC6">
        <w:rPr>
          <w:sz w:val="18"/>
          <w:szCs w:val="20"/>
        </w:rPr>
        <w:t xml:space="preserve">aşağıdakiler dahil ancak bunlarla sınırlı olmaksızın </w:t>
      </w:r>
      <w:r w:rsidR="00514020">
        <w:rPr>
          <w:sz w:val="18"/>
          <w:szCs w:val="20"/>
        </w:rPr>
        <w:t xml:space="preserve">- </w:t>
      </w:r>
      <w:r w:rsidRPr="00BD2BC6">
        <w:rPr>
          <w:sz w:val="18"/>
          <w:szCs w:val="20"/>
        </w:rPr>
        <w:t>bazı faktörleri dikkate almalıdır:</w:t>
      </w:r>
    </w:p>
    <w:p w:rsidR="001926AC" w:rsidRPr="00BD2BC6" w:rsidRDefault="001926AC" w:rsidP="00514020">
      <w:pPr>
        <w:pStyle w:val="GvdeMetni"/>
        <w:spacing w:before="1"/>
        <w:jc w:val="both"/>
        <w:rPr>
          <w:szCs w:val="18"/>
        </w:rPr>
      </w:pPr>
    </w:p>
    <w:p w:rsidR="001926AC" w:rsidRPr="00BD2BC6" w:rsidRDefault="001926AC" w:rsidP="00514020">
      <w:pPr>
        <w:pStyle w:val="ListeParagraf"/>
        <w:numPr>
          <w:ilvl w:val="1"/>
          <w:numId w:val="2"/>
        </w:numPr>
        <w:tabs>
          <w:tab w:val="left" w:pos="1483"/>
          <w:tab w:val="left" w:pos="1485"/>
        </w:tabs>
        <w:spacing w:line="247" w:lineRule="auto"/>
        <w:ind w:right="183"/>
        <w:jc w:val="both"/>
        <w:rPr>
          <w:sz w:val="18"/>
          <w:szCs w:val="20"/>
        </w:rPr>
      </w:pPr>
      <w:r w:rsidRPr="00BD2BC6">
        <w:rPr>
          <w:sz w:val="18"/>
          <w:szCs w:val="20"/>
        </w:rPr>
        <w:t>dava konusu olan IP hakkı ile aynı IP hakkına ilişkin diğer lisans sözleşmeleri (ancak böyle herhangi bir diğer lisans sözleşmesinin müzakere edildiği koşulları ve özellikle de ancak bununla sınırlı kalmaksızın, dava konusu IP hakkının ihlali ve/veya geçerliliğinin tespit edilip edilmediğini usulünce hesaba katarak);</w:t>
      </w:r>
    </w:p>
    <w:p w:rsidR="001926AC" w:rsidRPr="00BD2BC6" w:rsidRDefault="001926AC" w:rsidP="00514020">
      <w:pPr>
        <w:pStyle w:val="GvdeMetni"/>
        <w:spacing w:before="8"/>
        <w:jc w:val="both"/>
        <w:rPr>
          <w:sz w:val="18"/>
          <w:szCs w:val="18"/>
        </w:rPr>
      </w:pPr>
    </w:p>
    <w:p w:rsidR="001926AC" w:rsidRPr="00BD2BC6" w:rsidRDefault="001926AC" w:rsidP="00514020">
      <w:pPr>
        <w:pStyle w:val="ListeParagraf"/>
        <w:numPr>
          <w:ilvl w:val="1"/>
          <w:numId w:val="2"/>
        </w:numPr>
        <w:tabs>
          <w:tab w:val="left" w:pos="1483"/>
          <w:tab w:val="left" w:pos="1485"/>
        </w:tabs>
        <w:jc w:val="both"/>
        <w:rPr>
          <w:sz w:val="18"/>
          <w:szCs w:val="20"/>
        </w:rPr>
      </w:pPr>
      <w:r w:rsidRPr="00BD2BC6">
        <w:rPr>
          <w:sz w:val="18"/>
          <w:szCs w:val="20"/>
        </w:rPr>
        <w:t>dava konusu IP hakkına benzer IP haklarına ilişkin diğer lisans sözleşmeleri;</w:t>
      </w:r>
    </w:p>
    <w:p w:rsidR="001926AC" w:rsidRPr="00BD2BC6" w:rsidRDefault="001926AC" w:rsidP="001926AC">
      <w:pPr>
        <w:pStyle w:val="GvdeMetni"/>
        <w:spacing w:before="3"/>
        <w:rPr>
          <w:szCs w:val="18"/>
        </w:rPr>
      </w:pPr>
    </w:p>
    <w:p w:rsidR="001926AC" w:rsidRPr="00BD2BC6" w:rsidRDefault="00514020" w:rsidP="00514020">
      <w:pPr>
        <w:pStyle w:val="ListeParagraf"/>
        <w:numPr>
          <w:ilvl w:val="1"/>
          <w:numId w:val="2"/>
        </w:numPr>
        <w:tabs>
          <w:tab w:val="left" w:pos="1483"/>
          <w:tab w:val="left" w:pos="1484"/>
        </w:tabs>
        <w:ind w:left="1483" w:hanging="676"/>
        <w:jc w:val="both"/>
        <w:rPr>
          <w:sz w:val="18"/>
          <w:szCs w:val="20"/>
        </w:rPr>
      </w:pPr>
      <w:r>
        <w:rPr>
          <w:sz w:val="18"/>
          <w:szCs w:val="20"/>
        </w:rPr>
        <w:t>mütecaviz</w:t>
      </w:r>
      <w:r w:rsidR="001926AC" w:rsidRPr="00BD2BC6">
        <w:rPr>
          <w:sz w:val="18"/>
          <w:szCs w:val="20"/>
        </w:rPr>
        <w:t xml:space="preserve"> olmayan alternatiflerin maliyeti;</w:t>
      </w:r>
    </w:p>
    <w:p w:rsidR="001926AC" w:rsidRPr="00BD2BC6" w:rsidRDefault="001926AC" w:rsidP="00514020">
      <w:pPr>
        <w:pStyle w:val="GvdeMetni"/>
        <w:spacing w:before="5"/>
        <w:jc w:val="both"/>
        <w:rPr>
          <w:szCs w:val="18"/>
        </w:rPr>
      </w:pPr>
    </w:p>
    <w:p w:rsidR="001926AC" w:rsidRPr="00BD2BC6" w:rsidRDefault="001926AC" w:rsidP="00514020">
      <w:pPr>
        <w:pStyle w:val="ListeParagraf"/>
        <w:numPr>
          <w:ilvl w:val="1"/>
          <w:numId w:val="2"/>
        </w:numPr>
        <w:tabs>
          <w:tab w:val="left" w:pos="1483"/>
          <w:tab w:val="left" w:pos="1485"/>
        </w:tabs>
        <w:spacing w:line="244" w:lineRule="auto"/>
        <w:ind w:right="348"/>
        <w:jc w:val="both"/>
        <w:rPr>
          <w:sz w:val="18"/>
          <w:szCs w:val="20"/>
        </w:rPr>
      </w:pPr>
      <w:r w:rsidRPr="00BD2BC6">
        <w:rPr>
          <w:sz w:val="18"/>
          <w:szCs w:val="20"/>
        </w:rPr>
        <w:t>alternatiflere kıyasla dava konusu IP hakkının avantajları (alternatifler için geçerli olan lisans ücretleri de dahil);</w:t>
      </w:r>
    </w:p>
    <w:p w:rsidR="001926AC" w:rsidRPr="00BD2BC6" w:rsidRDefault="001926AC" w:rsidP="00514020">
      <w:pPr>
        <w:pStyle w:val="GvdeMetni"/>
        <w:spacing w:before="1"/>
        <w:jc w:val="both"/>
        <w:rPr>
          <w:szCs w:val="18"/>
        </w:rPr>
      </w:pPr>
    </w:p>
    <w:p w:rsidR="001926AC" w:rsidRPr="00BD2BC6" w:rsidRDefault="001926AC" w:rsidP="00514020">
      <w:pPr>
        <w:pStyle w:val="ListeParagraf"/>
        <w:numPr>
          <w:ilvl w:val="1"/>
          <w:numId w:val="2"/>
        </w:numPr>
        <w:tabs>
          <w:tab w:val="left" w:pos="1483"/>
          <w:tab w:val="left" w:pos="1484"/>
        </w:tabs>
        <w:ind w:left="1483" w:hanging="676"/>
        <w:jc w:val="both"/>
        <w:rPr>
          <w:sz w:val="18"/>
          <w:szCs w:val="20"/>
        </w:rPr>
      </w:pPr>
      <w:r w:rsidRPr="00BD2BC6">
        <w:rPr>
          <w:sz w:val="18"/>
          <w:szCs w:val="20"/>
        </w:rPr>
        <w:t>dava konusu IP hakkını kapsayan ürün veya hizmetlerin kârlılığı;</w:t>
      </w:r>
    </w:p>
    <w:p w:rsidR="001926AC" w:rsidRDefault="001926AC" w:rsidP="00514020">
      <w:pPr>
        <w:jc w:val="both"/>
        <w:rPr>
          <w:sz w:val="18"/>
          <w:szCs w:val="20"/>
        </w:rPr>
      </w:pPr>
    </w:p>
    <w:p w:rsidR="001926AC" w:rsidRPr="00BD2BC6" w:rsidRDefault="001926AC" w:rsidP="00514020">
      <w:pPr>
        <w:pStyle w:val="ListeParagraf"/>
        <w:numPr>
          <w:ilvl w:val="1"/>
          <w:numId w:val="2"/>
        </w:numPr>
        <w:tabs>
          <w:tab w:val="left" w:pos="1483"/>
          <w:tab w:val="left" w:pos="1484"/>
        </w:tabs>
        <w:spacing w:before="74"/>
        <w:ind w:left="1483" w:hanging="676"/>
        <w:jc w:val="both"/>
        <w:rPr>
          <w:sz w:val="18"/>
          <w:szCs w:val="20"/>
        </w:rPr>
      </w:pPr>
      <w:r w:rsidRPr="00BD2BC6">
        <w:rPr>
          <w:sz w:val="18"/>
          <w:szCs w:val="20"/>
        </w:rPr>
        <w:t>dava konusu IP hakkının geliştirme maliyetleri ve</w:t>
      </w:r>
    </w:p>
    <w:p w:rsidR="001926AC" w:rsidRPr="00BD2BC6" w:rsidRDefault="001926AC" w:rsidP="00514020">
      <w:pPr>
        <w:pStyle w:val="GvdeMetni"/>
        <w:spacing w:before="6"/>
        <w:jc w:val="both"/>
        <w:rPr>
          <w:szCs w:val="18"/>
        </w:rPr>
      </w:pPr>
    </w:p>
    <w:p w:rsidR="001926AC" w:rsidRPr="00BD2BC6" w:rsidRDefault="001926AC" w:rsidP="00514020">
      <w:pPr>
        <w:pStyle w:val="ListeParagraf"/>
        <w:numPr>
          <w:ilvl w:val="1"/>
          <w:numId w:val="2"/>
        </w:numPr>
        <w:tabs>
          <w:tab w:val="left" w:pos="1483"/>
          <w:tab w:val="left" w:pos="1485"/>
        </w:tabs>
        <w:spacing w:line="244" w:lineRule="auto"/>
        <w:ind w:right="288"/>
        <w:jc w:val="both"/>
        <w:rPr>
          <w:sz w:val="18"/>
          <w:szCs w:val="20"/>
        </w:rPr>
      </w:pPr>
      <w:r w:rsidRPr="00BD2BC6">
        <w:rPr>
          <w:sz w:val="18"/>
          <w:szCs w:val="20"/>
        </w:rPr>
        <w:t>taraflar arasındaki önceden yapılan lisans müzakerelerinin yokluğu ve/veya bu müzakerelerin yapıldığı şartlar.</w:t>
      </w:r>
    </w:p>
    <w:p w:rsidR="001926AC" w:rsidRPr="00BD2BC6" w:rsidRDefault="001926AC" w:rsidP="00514020">
      <w:pPr>
        <w:pStyle w:val="GvdeMetni"/>
        <w:spacing w:before="1"/>
        <w:jc w:val="both"/>
        <w:rPr>
          <w:szCs w:val="18"/>
        </w:rPr>
      </w:pPr>
    </w:p>
    <w:p w:rsidR="001926AC" w:rsidRPr="00BD2BC6" w:rsidRDefault="001926AC" w:rsidP="00514020">
      <w:pPr>
        <w:pStyle w:val="ListeParagraf"/>
        <w:numPr>
          <w:ilvl w:val="0"/>
          <w:numId w:val="2"/>
        </w:numPr>
        <w:tabs>
          <w:tab w:val="left" w:pos="807"/>
          <w:tab w:val="left" w:pos="808"/>
        </w:tabs>
        <w:spacing w:line="247" w:lineRule="auto"/>
        <w:ind w:right="277"/>
        <w:jc w:val="both"/>
        <w:rPr>
          <w:sz w:val="18"/>
          <w:szCs w:val="20"/>
        </w:rPr>
      </w:pPr>
      <w:r w:rsidRPr="00BD2BC6">
        <w:rPr>
          <w:sz w:val="18"/>
          <w:szCs w:val="20"/>
        </w:rPr>
        <w:t xml:space="preserve">Makul bir </w:t>
      </w:r>
      <w:r w:rsidR="00514020">
        <w:rPr>
          <w:sz w:val="18"/>
          <w:szCs w:val="20"/>
        </w:rPr>
        <w:t>lisans bedeli</w:t>
      </w:r>
      <w:r w:rsidRPr="00BD2BC6">
        <w:rPr>
          <w:sz w:val="18"/>
          <w:szCs w:val="20"/>
        </w:rPr>
        <w:t xml:space="preserve"> ücreti tespit edilirken, tarafların birinin veya her ikisinin uygulamada, dava konusu olan IP hakkını lisanslamayacağını dikkate almaksızın, taraflar sanki, fiili hak sahibi taraf ve ihlal eden taraf sıfatlarını haiz olan istekli bir lisans veren ve lisans alanmış gibi kabul edilmelidir.</w:t>
      </w:r>
    </w:p>
    <w:p w:rsidR="001926AC" w:rsidRPr="00BD2BC6" w:rsidRDefault="001926AC" w:rsidP="00514020">
      <w:pPr>
        <w:pStyle w:val="GvdeMetni"/>
        <w:spacing w:before="7"/>
        <w:jc w:val="both"/>
        <w:rPr>
          <w:sz w:val="18"/>
          <w:szCs w:val="18"/>
        </w:rPr>
      </w:pPr>
    </w:p>
    <w:p w:rsidR="001926AC" w:rsidRPr="00BD2BC6" w:rsidRDefault="001926AC" w:rsidP="00514020">
      <w:pPr>
        <w:pStyle w:val="ListeParagraf"/>
        <w:numPr>
          <w:ilvl w:val="0"/>
          <w:numId w:val="2"/>
        </w:numPr>
        <w:tabs>
          <w:tab w:val="left" w:pos="807"/>
          <w:tab w:val="left" w:pos="808"/>
        </w:tabs>
        <w:spacing w:before="1" w:line="247" w:lineRule="auto"/>
        <w:ind w:right="301"/>
        <w:jc w:val="both"/>
        <w:rPr>
          <w:sz w:val="18"/>
          <w:szCs w:val="20"/>
        </w:rPr>
      </w:pPr>
      <w:r w:rsidRPr="00BD2BC6">
        <w:rPr>
          <w:sz w:val="18"/>
          <w:szCs w:val="20"/>
        </w:rPr>
        <w:t xml:space="preserve">Söz konusu geçerlilik ve ihlalin, aynı davada tespit edildiği veya başka şekilde ilgili koşullar çerçevesinde ortaya konduğu durumlarda, dava konusu IP hakkının geçerli olup ihlal edildiği esasına dayanarak makul bir </w:t>
      </w:r>
      <w:r w:rsidR="00514020">
        <w:rPr>
          <w:sz w:val="18"/>
          <w:szCs w:val="20"/>
        </w:rPr>
        <w:t>lisans bedeli</w:t>
      </w:r>
      <w:r w:rsidRPr="00BD2BC6">
        <w:rPr>
          <w:sz w:val="18"/>
          <w:szCs w:val="20"/>
        </w:rPr>
        <w:t xml:space="preserve"> tespit edilmelidir.</w:t>
      </w:r>
    </w:p>
    <w:p w:rsidR="001926AC" w:rsidRPr="00BD2BC6" w:rsidRDefault="001926AC" w:rsidP="00514020">
      <w:pPr>
        <w:pStyle w:val="GvdeMetni"/>
        <w:spacing w:before="10"/>
        <w:jc w:val="both"/>
        <w:rPr>
          <w:sz w:val="18"/>
          <w:szCs w:val="18"/>
        </w:rPr>
      </w:pPr>
    </w:p>
    <w:p w:rsidR="001926AC" w:rsidRPr="00BD2BC6" w:rsidRDefault="00D40152" w:rsidP="00514020">
      <w:pPr>
        <w:pStyle w:val="ListeParagraf"/>
        <w:numPr>
          <w:ilvl w:val="0"/>
          <w:numId w:val="2"/>
        </w:numPr>
        <w:tabs>
          <w:tab w:val="left" w:pos="807"/>
          <w:tab w:val="left" w:pos="808"/>
        </w:tabs>
        <w:spacing w:before="1" w:line="247" w:lineRule="auto"/>
        <w:ind w:right="332"/>
        <w:jc w:val="both"/>
        <w:rPr>
          <w:sz w:val="18"/>
          <w:szCs w:val="20"/>
        </w:rPr>
      </w:pPr>
      <w:r>
        <w:rPr>
          <w:sz w:val="18"/>
          <w:szCs w:val="20"/>
        </w:rPr>
        <w:t>Kayıp kar</w:t>
      </w:r>
      <w:r w:rsidR="001926AC" w:rsidRPr="00BD2BC6">
        <w:rPr>
          <w:sz w:val="18"/>
          <w:szCs w:val="20"/>
        </w:rPr>
        <w:t xml:space="preserve"> tespit edilirken, söz konusu s</w:t>
      </w:r>
      <w:r w:rsidR="0017075A">
        <w:rPr>
          <w:sz w:val="18"/>
          <w:szCs w:val="20"/>
        </w:rPr>
        <w:t xml:space="preserve">atışların dava konusu IP hakkı ile </w:t>
      </w:r>
      <w:r w:rsidR="00A368FC">
        <w:rPr>
          <w:sz w:val="18"/>
          <w:szCs w:val="20"/>
        </w:rPr>
        <w:t>ilişkili</w:t>
      </w:r>
      <w:r w:rsidR="001926AC" w:rsidRPr="00BD2BC6">
        <w:rPr>
          <w:sz w:val="18"/>
          <w:szCs w:val="20"/>
        </w:rPr>
        <w:t xml:space="preserve"> mal veya hizmetlerin zayi olan satışlarından kaynaklandığının tespit edildiği ölçüde, ihlal eden tarafından yapılan birlikte (convoyed) satışlara ilişkin tazminata hükmedilebilinmelidir.</w:t>
      </w:r>
    </w:p>
    <w:p w:rsidR="001926AC" w:rsidRPr="00BD2BC6" w:rsidRDefault="001926AC" w:rsidP="00514020">
      <w:pPr>
        <w:pStyle w:val="GvdeMetni"/>
        <w:spacing w:before="8"/>
        <w:jc w:val="both"/>
        <w:rPr>
          <w:sz w:val="18"/>
          <w:szCs w:val="18"/>
        </w:rPr>
      </w:pPr>
    </w:p>
    <w:p w:rsidR="001926AC" w:rsidRPr="00BD2BC6" w:rsidRDefault="001926AC" w:rsidP="00514020">
      <w:pPr>
        <w:pStyle w:val="ListeParagraf"/>
        <w:numPr>
          <w:ilvl w:val="0"/>
          <w:numId w:val="2"/>
        </w:numPr>
        <w:tabs>
          <w:tab w:val="left" w:pos="807"/>
          <w:tab w:val="left" w:pos="808"/>
        </w:tabs>
        <w:spacing w:line="249" w:lineRule="auto"/>
        <w:ind w:right="274"/>
        <w:jc w:val="both"/>
        <w:rPr>
          <w:sz w:val="18"/>
          <w:szCs w:val="20"/>
        </w:rPr>
      </w:pPr>
      <w:r w:rsidRPr="00BD2BC6">
        <w:rPr>
          <w:sz w:val="18"/>
          <w:szCs w:val="20"/>
        </w:rPr>
        <w:t xml:space="preserve">Dava konusu IP hakkının ihlal eden tarafından satılan çok unsurlu bir ürün veya hizmetin bir parçasıyla ilişkili olduğu durumlarda, dava konusu IP hakkına atfedilecek değer (ve </w:t>
      </w:r>
      <w:r w:rsidR="00696E9A">
        <w:rPr>
          <w:sz w:val="18"/>
          <w:szCs w:val="20"/>
        </w:rPr>
        <w:t xml:space="preserve">kayıp </w:t>
      </w:r>
      <w:r w:rsidRPr="00BD2BC6">
        <w:rPr>
          <w:sz w:val="18"/>
          <w:szCs w:val="20"/>
        </w:rPr>
        <w:t xml:space="preserve">kâr veya makul </w:t>
      </w:r>
      <w:r w:rsidR="00514020">
        <w:rPr>
          <w:sz w:val="18"/>
          <w:szCs w:val="20"/>
        </w:rPr>
        <w:t>lisans bedeli</w:t>
      </w:r>
      <w:r w:rsidRPr="00BD2BC6">
        <w:rPr>
          <w:sz w:val="18"/>
          <w:szCs w:val="20"/>
        </w:rPr>
        <w:t xml:space="preserve"> yoluyla hükmedilecek tazminat), ihlal edici unsurun bu çok unsurlu ürün veya hizmete yönelik tüketici talebinin temelini ne ölçüde teşkil ettiği göz önünde bulundurularak tespit </w:t>
      </w:r>
      <w:r w:rsidRPr="00BD2BC6">
        <w:rPr>
          <w:sz w:val="18"/>
          <w:szCs w:val="20"/>
        </w:rPr>
        <w:lastRenderedPageBreak/>
        <w:t>edilmelidir.</w:t>
      </w:r>
    </w:p>
    <w:p w:rsidR="001926AC" w:rsidRPr="00BD2BC6" w:rsidRDefault="001926AC" w:rsidP="00514020">
      <w:pPr>
        <w:pStyle w:val="GvdeMetni"/>
        <w:spacing w:before="5"/>
        <w:jc w:val="both"/>
        <w:rPr>
          <w:sz w:val="18"/>
          <w:szCs w:val="18"/>
        </w:rPr>
      </w:pPr>
    </w:p>
    <w:p w:rsidR="001926AC" w:rsidRPr="00BD2BC6" w:rsidRDefault="001926AC" w:rsidP="00514020">
      <w:pPr>
        <w:pStyle w:val="ListeParagraf"/>
        <w:numPr>
          <w:ilvl w:val="0"/>
          <w:numId w:val="2"/>
        </w:numPr>
        <w:tabs>
          <w:tab w:val="left" w:pos="807"/>
          <w:tab w:val="left" w:pos="808"/>
        </w:tabs>
        <w:spacing w:line="247" w:lineRule="auto"/>
        <w:ind w:right="437"/>
        <w:jc w:val="both"/>
        <w:rPr>
          <w:sz w:val="18"/>
          <w:szCs w:val="20"/>
        </w:rPr>
      </w:pPr>
      <w:r w:rsidRPr="00BD2BC6">
        <w:rPr>
          <w:sz w:val="18"/>
          <w:szCs w:val="20"/>
        </w:rPr>
        <w:t>Kay</w:t>
      </w:r>
      <w:r w:rsidR="00D40152">
        <w:rPr>
          <w:sz w:val="18"/>
          <w:szCs w:val="20"/>
        </w:rPr>
        <w:t>ıp</w:t>
      </w:r>
      <w:r w:rsidRPr="00BD2BC6">
        <w:rPr>
          <w:sz w:val="18"/>
          <w:szCs w:val="20"/>
        </w:rPr>
        <w:t xml:space="preserve"> kâr</w:t>
      </w:r>
      <w:r w:rsidR="00D40152">
        <w:rPr>
          <w:sz w:val="18"/>
          <w:szCs w:val="20"/>
        </w:rPr>
        <w:t>ın</w:t>
      </w:r>
      <w:r w:rsidRPr="00BD2BC6">
        <w:rPr>
          <w:sz w:val="18"/>
          <w:szCs w:val="20"/>
        </w:rPr>
        <w:t xml:space="preserve"> tespitinde, tazminata hükmedilen tarihten sonra hak sahibi tarafından maruz kalınacak gelecekteki zarar/ziyanın mevcut değeri hesaba katılmalıdır. Tazminata ek olarak bir tedbir kararı da verilmesi, tek başına gelecekte hiçbir zarar/ziyan olmayacağı anlamına gelmez.</w:t>
      </w:r>
    </w:p>
    <w:p w:rsidR="001926AC" w:rsidRPr="00BD2BC6" w:rsidRDefault="001926AC" w:rsidP="00514020">
      <w:pPr>
        <w:pStyle w:val="GvdeMetni"/>
        <w:spacing w:before="10"/>
        <w:jc w:val="both"/>
        <w:rPr>
          <w:sz w:val="18"/>
          <w:szCs w:val="18"/>
        </w:rPr>
      </w:pPr>
    </w:p>
    <w:p w:rsidR="001926AC" w:rsidRPr="00BD2BC6" w:rsidRDefault="001926AC" w:rsidP="00514020">
      <w:pPr>
        <w:pStyle w:val="ListeParagraf"/>
        <w:numPr>
          <w:ilvl w:val="0"/>
          <w:numId w:val="2"/>
        </w:numPr>
        <w:tabs>
          <w:tab w:val="left" w:pos="807"/>
          <w:tab w:val="left" w:pos="808"/>
        </w:tabs>
        <w:jc w:val="both"/>
        <w:rPr>
          <w:sz w:val="18"/>
          <w:szCs w:val="20"/>
        </w:rPr>
      </w:pPr>
      <w:r w:rsidRPr="00BD2BC6">
        <w:rPr>
          <w:sz w:val="18"/>
          <w:szCs w:val="20"/>
        </w:rPr>
        <w:t>Bir tedbir kararı verildiği durumlarda, gelecekteki zarar/ziyan aşağıdakilerin etkilerini içerebilir:</w:t>
      </w:r>
    </w:p>
    <w:p w:rsidR="001926AC" w:rsidRPr="00BD2BC6" w:rsidRDefault="001926AC" w:rsidP="00514020">
      <w:pPr>
        <w:pStyle w:val="GvdeMetni"/>
        <w:spacing w:before="1"/>
        <w:jc w:val="both"/>
        <w:rPr>
          <w:szCs w:val="18"/>
        </w:rPr>
      </w:pPr>
    </w:p>
    <w:p w:rsidR="001926AC" w:rsidRPr="00BD2BC6" w:rsidRDefault="001926AC" w:rsidP="00514020">
      <w:pPr>
        <w:pStyle w:val="ListeParagraf"/>
        <w:numPr>
          <w:ilvl w:val="1"/>
          <w:numId w:val="2"/>
        </w:numPr>
        <w:tabs>
          <w:tab w:val="left" w:pos="1541"/>
          <w:tab w:val="left" w:pos="1542"/>
        </w:tabs>
        <w:ind w:left="1541" w:hanging="734"/>
        <w:jc w:val="both"/>
        <w:rPr>
          <w:sz w:val="18"/>
          <w:szCs w:val="20"/>
        </w:rPr>
      </w:pPr>
      <w:r w:rsidRPr="00BD2BC6">
        <w:rPr>
          <w:sz w:val="18"/>
          <w:szCs w:val="20"/>
        </w:rPr>
        <w:t>fiyat düşüşleri ve/veya</w:t>
      </w:r>
    </w:p>
    <w:p w:rsidR="001926AC" w:rsidRPr="00BD2BC6" w:rsidRDefault="001926AC" w:rsidP="00514020">
      <w:pPr>
        <w:pStyle w:val="GvdeMetni"/>
        <w:spacing w:before="3"/>
        <w:jc w:val="both"/>
        <w:rPr>
          <w:szCs w:val="18"/>
        </w:rPr>
      </w:pPr>
    </w:p>
    <w:p w:rsidR="001926AC" w:rsidRPr="00BD2BC6" w:rsidRDefault="001926AC" w:rsidP="00514020">
      <w:pPr>
        <w:pStyle w:val="ListeParagraf"/>
        <w:numPr>
          <w:ilvl w:val="1"/>
          <w:numId w:val="2"/>
        </w:numPr>
        <w:tabs>
          <w:tab w:val="left" w:pos="1541"/>
          <w:tab w:val="left" w:pos="1542"/>
        </w:tabs>
        <w:ind w:left="1541" w:hanging="734"/>
        <w:jc w:val="both"/>
        <w:rPr>
          <w:sz w:val="18"/>
          <w:szCs w:val="20"/>
        </w:rPr>
      </w:pPr>
      <w:r w:rsidRPr="00BD2BC6">
        <w:rPr>
          <w:sz w:val="18"/>
          <w:szCs w:val="20"/>
        </w:rPr>
        <w:t>kaybedilen pazar payı ve/veya</w:t>
      </w:r>
    </w:p>
    <w:p w:rsidR="001926AC" w:rsidRPr="00BD2BC6" w:rsidRDefault="001926AC" w:rsidP="00514020">
      <w:pPr>
        <w:pStyle w:val="GvdeMetni"/>
        <w:spacing w:before="5"/>
        <w:jc w:val="both"/>
        <w:rPr>
          <w:szCs w:val="18"/>
        </w:rPr>
      </w:pPr>
    </w:p>
    <w:p w:rsidR="001926AC" w:rsidRPr="00BD2BC6" w:rsidRDefault="001926AC" w:rsidP="00514020">
      <w:pPr>
        <w:pStyle w:val="ListeParagraf"/>
        <w:numPr>
          <w:ilvl w:val="1"/>
          <w:numId w:val="2"/>
        </w:numPr>
        <w:tabs>
          <w:tab w:val="left" w:pos="1483"/>
          <w:tab w:val="left" w:pos="1484"/>
        </w:tabs>
        <w:ind w:left="1483" w:hanging="676"/>
        <w:jc w:val="both"/>
        <w:rPr>
          <w:sz w:val="18"/>
          <w:szCs w:val="20"/>
        </w:rPr>
      </w:pPr>
      <w:r w:rsidRPr="00BD2BC6">
        <w:rPr>
          <w:sz w:val="18"/>
          <w:szCs w:val="20"/>
        </w:rPr>
        <w:t>piyasanın ihlal öncesi kârlılık durumuna geri döndürülmesi için gerekli süre.</w:t>
      </w:r>
    </w:p>
    <w:p w:rsidR="001926AC" w:rsidRPr="00BD2BC6" w:rsidRDefault="001926AC" w:rsidP="00514020">
      <w:pPr>
        <w:pStyle w:val="GvdeMetni"/>
        <w:spacing w:before="3"/>
        <w:jc w:val="both"/>
        <w:rPr>
          <w:szCs w:val="18"/>
        </w:rPr>
      </w:pPr>
    </w:p>
    <w:p w:rsidR="001926AC" w:rsidRPr="00BD2BC6" w:rsidRDefault="001926AC" w:rsidP="00514020">
      <w:pPr>
        <w:pStyle w:val="GvdeMetni"/>
        <w:spacing w:line="247" w:lineRule="auto"/>
        <w:ind w:left="807" w:right="216"/>
        <w:jc w:val="both"/>
        <w:rPr>
          <w:sz w:val="18"/>
          <w:szCs w:val="18"/>
        </w:rPr>
      </w:pPr>
      <w:r w:rsidRPr="00BD2BC6">
        <w:rPr>
          <w:sz w:val="18"/>
          <w:szCs w:val="18"/>
        </w:rPr>
        <w:t>Tedbir kararı verilmediği takdirde, gelecekteki zarar/ziyan c)’nin değil ancak a) ve b) maddelerinin etkilerini kapsayabilir.</w:t>
      </w:r>
    </w:p>
    <w:p w:rsidR="001926AC" w:rsidRPr="00BD2BC6" w:rsidRDefault="001926AC" w:rsidP="00514020">
      <w:pPr>
        <w:pStyle w:val="GvdeMetni"/>
        <w:spacing w:before="8"/>
        <w:jc w:val="both"/>
        <w:rPr>
          <w:sz w:val="18"/>
          <w:szCs w:val="18"/>
        </w:rPr>
      </w:pPr>
    </w:p>
    <w:p w:rsidR="001926AC" w:rsidRPr="00BD2BC6" w:rsidRDefault="001926AC" w:rsidP="00514020">
      <w:pPr>
        <w:pStyle w:val="ListeParagraf"/>
        <w:numPr>
          <w:ilvl w:val="0"/>
          <w:numId w:val="2"/>
        </w:numPr>
        <w:tabs>
          <w:tab w:val="left" w:pos="807"/>
          <w:tab w:val="left" w:pos="808"/>
        </w:tabs>
        <w:spacing w:line="249" w:lineRule="auto"/>
        <w:ind w:right="384"/>
        <w:jc w:val="both"/>
        <w:rPr>
          <w:sz w:val="18"/>
          <w:szCs w:val="20"/>
        </w:rPr>
      </w:pPr>
      <w:r w:rsidRPr="00BD2BC6">
        <w:rPr>
          <w:sz w:val="18"/>
          <w:szCs w:val="20"/>
        </w:rPr>
        <w:t xml:space="preserve">Hiçbir tedbir kararı verilmediği durumlarda makul bir </w:t>
      </w:r>
      <w:r w:rsidR="00514020">
        <w:rPr>
          <w:sz w:val="18"/>
          <w:szCs w:val="20"/>
        </w:rPr>
        <w:t>lisans bedeli</w:t>
      </w:r>
      <w:r w:rsidR="00514020" w:rsidRPr="00BD2BC6">
        <w:rPr>
          <w:sz w:val="18"/>
          <w:szCs w:val="20"/>
        </w:rPr>
        <w:t xml:space="preserve"> </w:t>
      </w:r>
      <w:r w:rsidRPr="00BD2BC6">
        <w:rPr>
          <w:sz w:val="18"/>
          <w:szCs w:val="20"/>
        </w:rPr>
        <w:t xml:space="preserve">tespit edilirken, </w:t>
      </w:r>
      <w:r w:rsidR="00514020">
        <w:rPr>
          <w:sz w:val="18"/>
          <w:szCs w:val="20"/>
        </w:rPr>
        <w:t>lisans bedeli</w:t>
      </w:r>
      <w:r w:rsidRPr="00BD2BC6">
        <w:rPr>
          <w:sz w:val="18"/>
          <w:szCs w:val="20"/>
        </w:rPr>
        <w:t xml:space="preserve">, varsa, gelecekteki ihlallere ilişkin bir </w:t>
      </w:r>
      <w:r w:rsidR="00514020">
        <w:rPr>
          <w:sz w:val="18"/>
          <w:szCs w:val="20"/>
        </w:rPr>
        <w:t>lisans bedelini</w:t>
      </w:r>
      <w:r w:rsidR="00514020" w:rsidRPr="00BD2BC6">
        <w:rPr>
          <w:sz w:val="18"/>
          <w:szCs w:val="20"/>
        </w:rPr>
        <w:t xml:space="preserve"> </w:t>
      </w:r>
      <w:r w:rsidRPr="00BD2BC6">
        <w:rPr>
          <w:sz w:val="18"/>
          <w:szCs w:val="20"/>
        </w:rPr>
        <w:t>içermelidir.</w:t>
      </w:r>
    </w:p>
    <w:p w:rsidR="001926AC" w:rsidRPr="00BD2BC6" w:rsidRDefault="001926AC" w:rsidP="00514020">
      <w:pPr>
        <w:pStyle w:val="GvdeMetni"/>
        <w:spacing w:before="3"/>
        <w:jc w:val="both"/>
        <w:rPr>
          <w:sz w:val="18"/>
          <w:szCs w:val="18"/>
        </w:rPr>
      </w:pPr>
    </w:p>
    <w:p w:rsidR="001926AC" w:rsidRDefault="001926AC" w:rsidP="00514020">
      <w:pPr>
        <w:pStyle w:val="ListeParagraf"/>
        <w:numPr>
          <w:ilvl w:val="0"/>
          <w:numId w:val="2"/>
        </w:numPr>
        <w:tabs>
          <w:tab w:val="left" w:pos="807"/>
          <w:tab w:val="left" w:pos="808"/>
        </w:tabs>
        <w:spacing w:line="249" w:lineRule="auto"/>
        <w:ind w:right="219"/>
        <w:jc w:val="both"/>
        <w:rPr>
          <w:sz w:val="18"/>
          <w:szCs w:val="20"/>
        </w:rPr>
      </w:pPr>
      <w:r w:rsidRPr="00BD2BC6">
        <w:rPr>
          <w:sz w:val="18"/>
          <w:szCs w:val="20"/>
        </w:rPr>
        <w:t>Bu Kararda belirtilen tazminat tutarının belirlenmesine ilişkin ilkeler, IP sahibi ve IP sahibinin herhangi bir lisans alanı tarafından ileri sürülen ihlal iddialarına uygulanmalıdır; ancak şu kadar ki, söz konusu lisans alanın, ihlale ilişkin dava açabilmek için veya bir ihlale ilişkin davaya müdahil olabilmek için gerekli husumete sahip olması gerekmektedir. Ancak IP sahibi ile söz konusu lisans alanın menfaatlerinin farklı olması halinde, ortaya çıkan herhangi bir tazminatın tutarı bu maddi vakıayı yansıtacak şekilde belirlenmelidir.</w:t>
      </w:r>
    </w:p>
    <w:p w:rsidR="00D31A73" w:rsidRDefault="00D31A73" w:rsidP="00514020">
      <w:pPr>
        <w:pStyle w:val="Balk1"/>
        <w:jc w:val="both"/>
        <w:rPr>
          <w:sz w:val="18"/>
          <w:szCs w:val="18"/>
        </w:rPr>
      </w:pPr>
    </w:p>
    <w:p w:rsidR="00D31A73" w:rsidRDefault="00D31A73" w:rsidP="00514020">
      <w:pPr>
        <w:pStyle w:val="Balk1"/>
        <w:jc w:val="both"/>
        <w:rPr>
          <w:sz w:val="18"/>
          <w:szCs w:val="18"/>
        </w:rPr>
      </w:pPr>
    </w:p>
    <w:p w:rsidR="001926AC" w:rsidRPr="00BD2BC6" w:rsidRDefault="001926AC" w:rsidP="00514020">
      <w:pPr>
        <w:pStyle w:val="Balk1"/>
        <w:jc w:val="both"/>
        <w:rPr>
          <w:sz w:val="18"/>
          <w:szCs w:val="18"/>
        </w:rPr>
      </w:pPr>
      <w:r w:rsidRPr="00BD2BC6">
        <w:rPr>
          <w:sz w:val="18"/>
          <w:szCs w:val="18"/>
        </w:rPr>
        <w:t>Linkler:</w:t>
      </w:r>
    </w:p>
    <w:p w:rsidR="001926AC" w:rsidRPr="00BD2BC6" w:rsidRDefault="001926AC" w:rsidP="00514020">
      <w:pPr>
        <w:pStyle w:val="GvdeMetni"/>
        <w:spacing w:before="4"/>
        <w:jc w:val="both"/>
        <w:rPr>
          <w:b/>
          <w:szCs w:val="18"/>
        </w:rPr>
      </w:pPr>
    </w:p>
    <w:p w:rsidR="001926AC" w:rsidRPr="00BD2BC6" w:rsidRDefault="001926AC" w:rsidP="00514020">
      <w:pPr>
        <w:pStyle w:val="ListeParagraf"/>
        <w:numPr>
          <w:ilvl w:val="0"/>
          <w:numId w:val="1"/>
        </w:numPr>
        <w:tabs>
          <w:tab w:val="left" w:pos="468"/>
          <w:tab w:val="left" w:pos="469"/>
        </w:tabs>
        <w:ind w:hanging="338"/>
        <w:jc w:val="both"/>
        <w:rPr>
          <w:sz w:val="18"/>
          <w:szCs w:val="20"/>
        </w:rPr>
      </w:pPr>
      <w:r w:rsidRPr="00BD2BC6">
        <w:rPr>
          <w:sz w:val="18"/>
          <w:szCs w:val="20"/>
        </w:rPr>
        <w:t>Çalışma Kılavuz İlkeleri</w:t>
      </w:r>
    </w:p>
    <w:p w:rsidR="001926AC" w:rsidRDefault="001926AC" w:rsidP="00514020">
      <w:pPr>
        <w:jc w:val="both"/>
        <w:rPr>
          <w:sz w:val="18"/>
          <w:szCs w:val="20"/>
        </w:rPr>
      </w:pPr>
    </w:p>
    <w:p w:rsidR="001926AC" w:rsidRPr="00BD2BC6" w:rsidRDefault="00B931F4" w:rsidP="00514020">
      <w:pPr>
        <w:pStyle w:val="GvdeMetni"/>
        <w:spacing w:before="76" w:line="247" w:lineRule="auto"/>
        <w:ind w:left="468" w:right="570"/>
        <w:jc w:val="both"/>
        <w:rPr>
          <w:sz w:val="18"/>
          <w:szCs w:val="18"/>
        </w:rPr>
      </w:pPr>
      <w:hyperlink r:id="rId8">
        <w:r w:rsidR="001926AC" w:rsidRPr="00BD2BC6">
          <w:rPr>
            <w:color w:val="0000FF"/>
            <w:sz w:val="18"/>
            <w:szCs w:val="18"/>
            <w:u w:val="single" w:color="0000FF"/>
          </w:rPr>
          <w:t>http://aippi.org/wp-content/uploads/2017/01/FINAL-website-version-Quantification-of-</w:t>
        </w:r>
      </w:hyperlink>
      <w:r w:rsidR="001926AC" w:rsidRPr="00BD2BC6">
        <w:rPr>
          <w:color w:val="0000FF"/>
          <w:sz w:val="18"/>
          <w:szCs w:val="18"/>
        </w:rPr>
        <w:t xml:space="preserve"> </w:t>
      </w:r>
      <w:r w:rsidR="001926AC" w:rsidRPr="00BD2BC6">
        <w:rPr>
          <w:color w:val="0000FF"/>
          <w:sz w:val="18"/>
          <w:szCs w:val="18"/>
          <w:u w:val="single" w:color="0000FF"/>
        </w:rPr>
        <w:t>monetary-relief.pdf</w:t>
      </w:r>
    </w:p>
    <w:p w:rsidR="001926AC" w:rsidRPr="00BD2BC6" w:rsidRDefault="001926AC" w:rsidP="00514020">
      <w:pPr>
        <w:pStyle w:val="GvdeMetni"/>
        <w:spacing w:before="9"/>
        <w:jc w:val="both"/>
        <w:rPr>
          <w:sz w:val="18"/>
          <w:szCs w:val="18"/>
        </w:rPr>
      </w:pPr>
    </w:p>
    <w:p w:rsidR="001926AC" w:rsidRPr="00BD2BC6" w:rsidRDefault="001926AC" w:rsidP="00514020">
      <w:pPr>
        <w:pStyle w:val="ListeParagraf"/>
        <w:numPr>
          <w:ilvl w:val="0"/>
          <w:numId w:val="1"/>
        </w:numPr>
        <w:tabs>
          <w:tab w:val="left" w:pos="468"/>
          <w:tab w:val="left" w:pos="469"/>
        </w:tabs>
        <w:ind w:hanging="338"/>
        <w:jc w:val="both"/>
        <w:rPr>
          <w:sz w:val="18"/>
          <w:szCs w:val="20"/>
        </w:rPr>
      </w:pPr>
      <w:r w:rsidRPr="00BD2BC6">
        <w:rPr>
          <w:sz w:val="18"/>
          <w:szCs w:val="20"/>
        </w:rPr>
        <w:t>Özet Rapor</w:t>
      </w:r>
    </w:p>
    <w:p w:rsidR="001926AC" w:rsidRPr="00BD2BC6" w:rsidRDefault="00B931F4" w:rsidP="00514020">
      <w:pPr>
        <w:pStyle w:val="GvdeMetni"/>
        <w:spacing w:before="6" w:line="247" w:lineRule="auto"/>
        <w:ind w:left="468" w:right="125"/>
        <w:jc w:val="both"/>
        <w:rPr>
          <w:sz w:val="18"/>
          <w:szCs w:val="18"/>
        </w:rPr>
      </w:pPr>
      <w:hyperlink r:id="rId9">
        <w:r w:rsidR="001926AC" w:rsidRPr="00BD2BC6">
          <w:rPr>
            <w:color w:val="0000FF"/>
            <w:sz w:val="18"/>
            <w:szCs w:val="18"/>
            <w:u w:val="single" w:color="0000FF"/>
          </w:rPr>
          <w:t>http://aippi.org/wp-content/uploads/2017/08/Summary-Report-Quantification-of-monetary-</w:t>
        </w:r>
      </w:hyperlink>
      <w:r w:rsidR="001926AC" w:rsidRPr="00BD2BC6">
        <w:rPr>
          <w:color w:val="0000FF"/>
          <w:sz w:val="18"/>
          <w:szCs w:val="18"/>
        </w:rPr>
        <w:t xml:space="preserve"> </w:t>
      </w:r>
      <w:r w:rsidR="001926AC" w:rsidRPr="00BD2BC6">
        <w:rPr>
          <w:color w:val="0000FF"/>
          <w:sz w:val="18"/>
          <w:szCs w:val="18"/>
          <w:u w:val="single" w:color="0000FF"/>
        </w:rPr>
        <w:t>relief_16August2017.pdf</w:t>
      </w:r>
    </w:p>
    <w:p w:rsidR="001926AC" w:rsidRPr="00BD2BC6" w:rsidRDefault="001926AC" w:rsidP="00514020">
      <w:pPr>
        <w:pStyle w:val="GvdeMetni"/>
        <w:spacing w:before="9"/>
        <w:jc w:val="both"/>
        <w:rPr>
          <w:sz w:val="18"/>
          <w:szCs w:val="18"/>
        </w:rPr>
      </w:pPr>
    </w:p>
    <w:p w:rsidR="001926AC" w:rsidRPr="001926AC" w:rsidRDefault="001926AC" w:rsidP="00514020">
      <w:pPr>
        <w:pStyle w:val="ListeParagraf"/>
        <w:numPr>
          <w:ilvl w:val="0"/>
          <w:numId w:val="1"/>
        </w:numPr>
        <w:tabs>
          <w:tab w:val="left" w:pos="468"/>
          <w:tab w:val="left" w:pos="469"/>
        </w:tabs>
        <w:spacing w:line="244" w:lineRule="auto"/>
        <w:ind w:right="2016" w:hanging="338"/>
        <w:jc w:val="both"/>
        <w:rPr>
          <w:sz w:val="18"/>
          <w:szCs w:val="20"/>
        </w:rPr>
      </w:pPr>
      <w:r w:rsidRPr="00BD2BC6">
        <w:rPr>
          <w:sz w:val="20"/>
          <w:szCs w:val="20"/>
        </w:rPr>
        <w:t>Ulusal ve Bölgesel Grupların ve Bağımsız Üyelerin Raporları</w:t>
      </w:r>
    </w:p>
    <w:p w:rsidR="003851A0" w:rsidRPr="00BD2BC6" w:rsidRDefault="001926AC" w:rsidP="00A368FC">
      <w:pPr>
        <w:pStyle w:val="ListeParagraf"/>
        <w:tabs>
          <w:tab w:val="left" w:pos="468"/>
          <w:tab w:val="left" w:pos="469"/>
        </w:tabs>
        <w:spacing w:line="244" w:lineRule="auto"/>
        <w:ind w:left="468" w:right="2016" w:firstLine="0"/>
        <w:jc w:val="both"/>
        <w:rPr>
          <w:sz w:val="18"/>
          <w:szCs w:val="18"/>
        </w:rPr>
      </w:pPr>
      <w:r w:rsidRPr="00BD2BC6">
        <w:rPr>
          <w:color w:val="0000FF"/>
          <w:sz w:val="18"/>
          <w:szCs w:val="20"/>
          <w:u w:val="single" w:color="0000FF"/>
        </w:rPr>
        <w:t>http://aippi.org/committee/quantification-of-monetary-relief/</w:t>
      </w:r>
      <w:bookmarkStart w:id="0" w:name="_GoBack"/>
      <w:bookmarkEnd w:id="0"/>
    </w:p>
    <w:sectPr w:rsidR="003851A0" w:rsidRPr="00BD2BC6" w:rsidSect="001926AC">
      <w:footerReference w:type="default" r:id="rId10"/>
      <w:pgSz w:w="12240" w:h="15840"/>
      <w:pgMar w:top="1260" w:right="1720" w:bottom="1100" w:left="1720" w:header="0" w:footer="8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1F4" w:rsidRDefault="00B931F4">
      <w:r>
        <w:separator/>
      </w:r>
    </w:p>
  </w:endnote>
  <w:endnote w:type="continuationSeparator" w:id="0">
    <w:p w:rsidR="00B931F4" w:rsidRDefault="00B93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1A0" w:rsidRDefault="005B303F">
    <w:pPr>
      <w:pStyle w:val="GvdeMetni"/>
      <w:spacing w:line="14" w:lineRule="auto"/>
      <w:rPr>
        <w:sz w:val="17"/>
      </w:rPr>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3819525</wp:posOffset>
              </wp:positionH>
              <wp:positionV relativeFrom="page">
                <wp:posOffset>9307830</wp:posOffset>
              </wp:positionV>
              <wp:extent cx="124460" cy="172720"/>
              <wp:effectExtent l="0" t="1905" r="0" b="0"/>
              <wp:wrapNone/>
              <wp:docPr id="2" name="1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51A0" w:rsidRDefault="00DE62BB">
                          <w:pPr>
                            <w:pStyle w:val="GvdeMetni"/>
                            <w:spacing w:before="20"/>
                            <w:ind w:left="40"/>
                          </w:pPr>
                          <w:r>
                            <w:fldChar w:fldCharType="begin"/>
                          </w:r>
                          <w:r>
                            <w:instrText xml:space="preserve"> PAGE </w:instrText>
                          </w:r>
                          <w:r>
                            <w:fldChar w:fldCharType="separate"/>
                          </w:r>
                          <w:r w:rsidR="00A368FC">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1130" o:spid="_x0000_s1026" type="#_x0000_t202" style="position:absolute;margin-left:300.75pt;margin-top:732.9pt;width:9.8pt;height:13.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" filled="f" stroked="f">
              <v:textbox inset="0,0,0,0">
                <w:txbxContent>
                  <w:p w:rsidR="003851A0" w:rsidRDefault="00DE62BB">
                    <w:pPr>
                      <w:pStyle w:val="GvdeMetni"/>
                      <w:spacing w:before="20"/>
                      <w:ind w:left="40"/>
                    </w:pPr>
                    <w:r>
                      <w:fldChar w:fldCharType="begin"/>
                    </w:r>
                    <w:r>
                      <w:instrText xml:space="preserve"> PAGE </w:instrText>
                    </w:r>
                    <w:r>
                      <w:fldChar w:fldCharType="separate"/>
                    </w:r>
                    <w:r w:rsidR="00A368FC">
                      <w:rPr>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1F4" w:rsidRDefault="00B931F4">
      <w:r>
        <w:separator/>
      </w:r>
    </w:p>
  </w:footnote>
  <w:footnote w:type="continuationSeparator" w:id="0">
    <w:p w:rsidR="00B931F4" w:rsidRDefault="00B93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B5404"/>
    <w:multiLevelType w:val="hybridMultilevel"/>
    <w:tmpl w:val="B23C2498"/>
    <w:lvl w:ilvl="0" w:tplc="593E3C4A">
      <w:start w:val="1"/>
      <w:numFmt w:val="decimal"/>
      <w:lvlText w:val="%1)"/>
      <w:lvlJc w:val="left"/>
      <w:pPr>
        <w:ind w:left="807" w:hanging="677"/>
        <w:jc w:val="left"/>
      </w:pPr>
      <w:rPr>
        <w:rFonts w:ascii="Arial" w:eastAsia="Arial" w:hAnsi="Arial" w:cs="Arial" w:hint="default"/>
        <w:w w:val="103"/>
        <w:sz w:val="20"/>
        <w:szCs w:val="20"/>
      </w:rPr>
    </w:lvl>
    <w:lvl w:ilvl="1" w:tplc="55A03CE4">
      <w:numFmt w:val="bullet"/>
      <w:lvlText w:val=""/>
      <w:lvlJc w:val="left"/>
      <w:pPr>
        <w:ind w:left="1483" w:hanging="689"/>
      </w:pPr>
      <w:rPr>
        <w:rFonts w:ascii="Symbol" w:eastAsia="Symbol" w:hAnsi="Symbol" w:cs="Symbol" w:hint="default"/>
        <w:w w:val="103"/>
        <w:sz w:val="20"/>
        <w:szCs w:val="20"/>
      </w:rPr>
    </w:lvl>
    <w:lvl w:ilvl="2" w:tplc="895C29D8">
      <w:numFmt w:val="bullet"/>
      <w:lvlText w:val="•"/>
      <w:lvlJc w:val="left"/>
      <w:pPr>
        <w:ind w:left="2366" w:hanging="689"/>
      </w:pPr>
      <w:rPr>
        <w:rFonts w:hint="default"/>
      </w:rPr>
    </w:lvl>
    <w:lvl w:ilvl="3" w:tplc="A64AFE9A">
      <w:numFmt w:val="bullet"/>
      <w:lvlText w:val="•"/>
      <w:lvlJc w:val="left"/>
      <w:pPr>
        <w:ind w:left="3253" w:hanging="689"/>
      </w:pPr>
      <w:rPr>
        <w:rFonts w:hint="default"/>
      </w:rPr>
    </w:lvl>
    <w:lvl w:ilvl="4" w:tplc="DEA63392">
      <w:numFmt w:val="bullet"/>
      <w:lvlText w:val="•"/>
      <w:lvlJc w:val="left"/>
      <w:pPr>
        <w:ind w:left="4140" w:hanging="689"/>
      </w:pPr>
      <w:rPr>
        <w:rFonts w:hint="default"/>
      </w:rPr>
    </w:lvl>
    <w:lvl w:ilvl="5" w:tplc="D358718A">
      <w:numFmt w:val="bullet"/>
      <w:lvlText w:val="•"/>
      <w:lvlJc w:val="left"/>
      <w:pPr>
        <w:ind w:left="5026" w:hanging="689"/>
      </w:pPr>
      <w:rPr>
        <w:rFonts w:hint="default"/>
      </w:rPr>
    </w:lvl>
    <w:lvl w:ilvl="6" w:tplc="56DA5152">
      <w:numFmt w:val="bullet"/>
      <w:lvlText w:val="•"/>
      <w:lvlJc w:val="left"/>
      <w:pPr>
        <w:ind w:left="5913" w:hanging="689"/>
      </w:pPr>
      <w:rPr>
        <w:rFonts w:hint="default"/>
      </w:rPr>
    </w:lvl>
    <w:lvl w:ilvl="7" w:tplc="4A3649D8">
      <w:numFmt w:val="bullet"/>
      <w:lvlText w:val="•"/>
      <w:lvlJc w:val="left"/>
      <w:pPr>
        <w:ind w:left="6800" w:hanging="689"/>
      </w:pPr>
      <w:rPr>
        <w:rFonts w:hint="default"/>
      </w:rPr>
    </w:lvl>
    <w:lvl w:ilvl="8" w:tplc="40C67888">
      <w:numFmt w:val="bullet"/>
      <w:lvlText w:val="•"/>
      <w:lvlJc w:val="left"/>
      <w:pPr>
        <w:ind w:left="7686" w:hanging="689"/>
      </w:pPr>
      <w:rPr>
        <w:rFonts w:hint="default"/>
      </w:rPr>
    </w:lvl>
  </w:abstractNum>
  <w:abstractNum w:abstractNumId="1" w15:restartNumberingAfterBreak="0">
    <w:nsid w:val="257C2D14"/>
    <w:multiLevelType w:val="hybridMultilevel"/>
    <w:tmpl w:val="268C45B8"/>
    <w:lvl w:ilvl="0" w:tplc="326EFB56">
      <w:numFmt w:val="bullet"/>
      <w:lvlText w:val=""/>
      <w:lvlJc w:val="left"/>
      <w:pPr>
        <w:ind w:left="468" w:hanging="339"/>
      </w:pPr>
      <w:rPr>
        <w:rFonts w:ascii="Symbol" w:eastAsia="Symbol" w:hAnsi="Symbol" w:cs="Symbol" w:hint="default"/>
        <w:w w:val="103"/>
        <w:sz w:val="20"/>
        <w:szCs w:val="20"/>
      </w:rPr>
    </w:lvl>
    <w:lvl w:ilvl="1" w:tplc="BE323AF2">
      <w:numFmt w:val="bullet"/>
      <w:lvlText w:val="•"/>
      <w:lvlJc w:val="left"/>
      <w:pPr>
        <w:ind w:left="1294" w:hanging="339"/>
      </w:pPr>
      <w:rPr>
        <w:rFonts w:hint="default"/>
      </w:rPr>
    </w:lvl>
    <w:lvl w:ilvl="2" w:tplc="DECA8B7E">
      <w:numFmt w:val="bullet"/>
      <w:lvlText w:val="•"/>
      <w:lvlJc w:val="left"/>
      <w:pPr>
        <w:ind w:left="2128" w:hanging="339"/>
      </w:pPr>
      <w:rPr>
        <w:rFonts w:hint="default"/>
      </w:rPr>
    </w:lvl>
    <w:lvl w:ilvl="3" w:tplc="04CA0B1C">
      <w:numFmt w:val="bullet"/>
      <w:lvlText w:val="•"/>
      <w:lvlJc w:val="left"/>
      <w:pPr>
        <w:ind w:left="2962" w:hanging="339"/>
      </w:pPr>
      <w:rPr>
        <w:rFonts w:hint="default"/>
      </w:rPr>
    </w:lvl>
    <w:lvl w:ilvl="4" w:tplc="9DFE8046">
      <w:numFmt w:val="bullet"/>
      <w:lvlText w:val="•"/>
      <w:lvlJc w:val="left"/>
      <w:pPr>
        <w:ind w:left="3796" w:hanging="339"/>
      </w:pPr>
      <w:rPr>
        <w:rFonts w:hint="default"/>
      </w:rPr>
    </w:lvl>
    <w:lvl w:ilvl="5" w:tplc="9200831C">
      <w:numFmt w:val="bullet"/>
      <w:lvlText w:val="•"/>
      <w:lvlJc w:val="left"/>
      <w:pPr>
        <w:ind w:left="4630" w:hanging="339"/>
      </w:pPr>
      <w:rPr>
        <w:rFonts w:hint="default"/>
      </w:rPr>
    </w:lvl>
    <w:lvl w:ilvl="6" w:tplc="5ECACFB0">
      <w:numFmt w:val="bullet"/>
      <w:lvlText w:val="•"/>
      <w:lvlJc w:val="left"/>
      <w:pPr>
        <w:ind w:left="5464" w:hanging="339"/>
      </w:pPr>
      <w:rPr>
        <w:rFonts w:hint="default"/>
      </w:rPr>
    </w:lvl>
    <w:lvl w:ilvl="7" w:tplc="238AD7E2">
      <w:numFmt w:val="bullet"/>
      <w:lvlText w:val="•"/>
      <w:lvlJc w:val="left"/>
      <w:pPr>
        <w:ind w:left="6298" w:hanging="339"/>
      </w:pPr>
      <w:rPr>
        <w:rFonts w:hint="default"/>
      </w:rPr>
    </w:lvl>
    <w:lvl w:ilvl="8" w:tplc="B122FE48">
      <w:numFmt w:val="bullet"/>
      <w:lvlText w:val="•"/>
      <w:lvlJc w:val="left"/>
      <w:pPr>
        <w:ind w:left="7132" w:hanging="339"/>
      </w:pPr>
      <w:rPr>
        <w:rFonts w:hint="default"/>
      </w:rPr>
    </w:lvl>
  </w:abstractNum>
  <w:abstractNum w:abstractNumId="2" w15:restartNumberingAfterBreak="0">
    <w:nsid w:val="5C2B26EC"/>
    <w:multiLevelType w:val="hybridMultilevel"/>
    <w:tmpl w:val="E7A07F24"/>
    <w:lvl w:ilvl="0" w:tplc="06763806">
      <w:start w:val="1"/>
      <w:numFmt w:val="decimal"/>
      <w:lvlText w:val="%1)"/>
      <w:lvlJc w:val="left"/>
      <w:pPr>
        <w:ind w:left="807" w:hanging="677"/>
        <w:jc w:val="left"/>
      </w:pPr>
      <w:rPr>
        <w:rFonts w:ascii="Arial" w:eastAsia="Arial" w:hAnsi="Arial" w:cs="Arial" w:hint="default"/>
        <w:w w:val="103"/>
        <w:sz w:val="20"/>
        <w:szCs w:val="20"/>
      </w:rPr>
    </w:lvl>
    <w:lvl w:ilvl="1" w:tplc="A3E2BFE6">
      <w:start w:val="1"/>
      <w:numFmt w:val="lowerLetter"/>
      <w:lvlText w:val="%2)"/>
      <w:lvlJc w:val="left"/>
      <w:pPr>
        <w:ind w:left="1484" w:hanging="677"/>
        <w:jc w:val="left"/>
      </w:pPr>
      <w:rPr>
        <w:rFonts w:ascii="Arial" w:eastAsia="Arial" w:hAnsi="Arial" w:cs="Arial" w:hint="default"/>
        <w:w w:val="103"/>
        <w:sz w:val="20"/>
        <w:szCs w:val="20"/>
      </w:rPr>
    </w:lvl>
    <w:lvl w:ilvl="2" w:tplc="6420B8EC">
      <w:numFmt w:val="bullet"/>
      <w:lvlText w:val="•"/>
      <w:lvlJc w:val="left"/>
      <w:pPr>
        <w:ind w:left="1540" w:hanging="677"/>
      </w:pPr>
      <w:rPr>
        <w:rFonts w:hint="default"/>
      </w:rPr>
    </w:lvl>
    <w:lvl w:ilvl="3" w:tplc="C99CEB9C">
      <w:numFmt w:val="bullet"/>
      <w:lvlText w:val="•"/>
      <w:lvlJc w:val="left"/>
      <w:pPr>
        <w:ind w:left="2447" w:hanging="677"/>
      </w:pPr>
      <w:rPr>
        <w:rFonts w:hint="default"/>
      </w:rPr>
    </w:lvl>
    <w:lvl w:ilvl="4" w:tplc="816697AA">
      <w:numFmt w:val="bullet"/>
      <w:lvlText w:val="•"/>
      <w:lvlJc w:val="left"/>
      <w:pPr>
        <w:ind w:left="3355" w:hanging="677"/>
      </w:pPr>
      <w:rPr>
        <w:rFonts w:hint="default"/>
      </w:rPr>
    </w:lvl>
    <w:lvl w:ilvl="5" w:tplc="E3E8F40C">
      <w:numFmt w:val="bullet"/>
      <w:lvlText w:val="•"/>
      <w:lvlJc w:val="left"/>
      <w:pPr>
        <w:ind w:left="4262" w:hanging="677"/>
      </w:pPr>
      <w:rPr>
        <w:rFonts w:hint="default"/>
      </w:rPr>
    </w:lvl>
    <w:lvl w:ilvl="6" w:tplc="1228F1EE">
      <w:numFmt w:val="bullet"/>
      <w:lvlText w:val="•"/>
      <w:lvlJc w:val="left"/>
      <w:pPr>
        <w:ind w:left="5170" w:hanging="677"/>
      </w:pPr>
      <w:rPr>
        <w:rFonts w:hint="default"/>
      </w:rPr>
    </w:lvl>
    <w:lvl w:ilvl="7" w:tplc="FC888446">
      <w:numFmt w:val="bullet"/>
      <w:lvlText w:val="•"/>
      <w:lvlJc w:val="left"/>
      <w:pPr>
        <w:ind w:left="6077" w:hanging="677"/>
      </w:pPr>
      <w:rPr>
        <w:rFonts w:hint="default"/>
      </w:rPr>
    </w:lvl>
    <w:lvl w:ilvl="8" w:tplc="FBAA2ED6">
      <w:numFmt w:val="bullet"/>
      <w:lvlText w:val="•"/>
      <w:lvlJc w:val="left"/>
      <w:pPr>
        <w:ind w:left="6985" w:hanging="677"/>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1A0"/>
    <w:rsid w:val="00006D8C"/>
    <w:rsid w:val="00040387"/>
    <w:rsid w:val="0007228A"/>
    <w:rsid w:val="000D0A09"/>
    <w:rsid w:val="000E30B1"/>
    <w:rsid w:val="000F7854"/>
    <w:rsid w:val="00112DC8"/>
    <w:rsid w:val="0016532A"/>
    <w:rsid w:val="0017075A"/>
    <w:rsid w:val="001926AC"/>
    <w:rsid w:val="001B047C"/>
    <w:rsid w:val="001B7174"/>
    <w:rsid w:val="001F0E96"/>
    <w:rsid w:val="0027468D"/>
    <w:rsid w:val="00311D96"/>
    <w:rsid w:val="003851A0"/>
    <w:rsid w:val="0042768E"/>
    <w:rsid w:val="00466AE9"/>
    <w:rsid w:val="00481B56"/>
    <w:rsid w:val="004E617E"/>
    <w:rsid w:val="00514020"/>
    <w:rsid w:val="005A152A"/>
    <w:rsid w:val="005B303F"/>
    <w:rsid w:val="00620680"/>
    <w:rsid w:val="006315B0"/>
    <w:rsid w:val="00656071"/>
    <w:rsid w:val="00686699"/>
    <w:rsid w:val="00696E9A"/>
    <w:rsid w:val="0076621E"/>
    <w:rsid w:val="007D764C"/>
    <w:rsid w:val="0082494E"/>
    <w:rsid w:val="00871904"/>
    <w:rsid w:val="00976A67"/>
    <w:rsid w:val="00A368FC"/>
    <w:rsid w:val="00A95FB8"/>
    <w:rsid w:val="00A97AF6"/>
    <w:rsid w:val="00AE59D7"/>
    <w:rsid w:val="00B215A0"/>
    <w:rsid w:val="00B931F4"/>
    <w:rsid w:val="00BD2BC6"/>
    <w:rsid w:val="00BD344B"/>
    <w:rsid w:val="00C424CD"/>
    <w:rsid w:val="00D2403A"/>
    <w:rsid w:val="00D31A73"/>
    <w:rsid w:val="00D40152"/>
    <w:rsid w:val="00DE62BB"/>
    <w:rsid w:val="00DF6324"/>
    <w:rsid w:val="00E2653B"/>
    <w:rsid w:val="00EA42AA"/>
    <w:rsid w:val="00EA5EDC"/>
    <w:rsid w:val="00F206E3"/>
    <w:rsid w:val="00FC113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18FE3F-DF01-459A-8202-7BBCA1B6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widowControl w:val="0"/>
        <w:autoSpaceDE w:val="0"/>
        <w:autoSpaceDN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Pr>
      <w:rFonts w:ascii="Arial" w:eastAsia="Arial" w:hAnsi="Arial" w:cs="Arial"/>
    </w:rPr>
  </w:style>
  <w:style w:type="paragraph" w:styleId="Balk1">
    <w:name w:val="heading 1"/>
    <w:basedOn w:val="Normal"/>
    <w:uiPriority w:val="1"/>
    <w:qFormat/>
    <w:pPr>
      <w:ind w:left="130"/>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807" w:hanging="677"/>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DE62BB"/>
    <w:rPr>
      <w:rFonts w:ascii="Tahoma" w:hAnsi="Tahoma" w:cs="Tahoma"/>
      <w:sz w:val="16"/>
      <w:szCs w:val="16"/>
    </w:rPr>
  </w:style>
  <w:style w:type="character" w:customStyle="1" w:styleId="BalonMetniChar">
    <w:name w:val="Balon Metni Char"/>
    <w:basedOn w:val="VarsaylanParagrafYazTipi"/>
    <w:link w:val="BalonMetni"/>
    <w:uiPriority w:val="99"/>
    <w:semiHidden/>
    <w:rsid w:val="00DE62BB"/>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aippi.org/wp-content/uploads/2017/01/FINAL-website-version-Quantification-o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aippi.org/wp-content/uploads/2017/08/Summary-Report-Quantification-of-monet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1664</Words>
  <Characters>9490</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Resolution on Quantification of montary relief_English</vt:lpstr>
    </vt:vector>
  </TitlesOfParts>
  <Company/>
  <LinksUpToDate>false</LinksUpToDate>
  <CharactersWithSpaces>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on Quantification of montary relief_English</dc:title>
  <dc:creator>aiifma</dc:creator>
  <cp:lastModifiedBy>Olgac NACAKCI</cp:lastModifiedBy>
  <cp:revision>2</cp:revision>
  <cp:lastPrinted>2018-03-13T13:54:00Z</cp:lastPrinted>
  <dcterms:created xsi:type="dcterms:W3CDTF">2018-03-26T15:19:00Z</dcterms:created>
  <dcterms:modified xsi:type="dcterms:W3CDTF">2018-03-26T15:19:00Z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2017-10-27T00:00:00Z</vt:filetime>
  </property>
  <property fmtid="{D5CDD505-2E9C-101B-9397-08002B2CF9AE}" pid="3" name="Creator">
    <vt:lpwstr>PDFCreator 2.1.2.0</vt:lpwstr>
  </property>
  <property fmtid="{D5CDD505-2E9C-101B-9397-08002B2CF9AE}" pid="4" name="LastSaved">
    <vt:filetime>2018-02-21T00:00:00Z</vt:filetime>
  </property>
</Properties>
</file>