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00737" w:rsidRPr="00453CBD" w:rsidRDefault="00453CBD">
      <w:pPr>
        <w:pStyle w:val="GvdeMetni"/>
        <w:ind w:left="7539"/>
        <w:rPr>
          <w:rFonts w:ascii="Times New Roman"/>
          <w:sz w:val="18"/>
          <w:szCs w:val="18"/>
        </w:rPr>
      </w:pPr>
      <w:r w:rsidRPr="00453CBD">
        <w:rPr>
          <w:rFonts w:ascii="Times New Roman"/>
          <w:noProof/>
          <w:sz w:val="18"/>
          <w:szCs w:val="18"/>
          <w:lang w:eastAsia="tr-TR"/>
        </w:rPr>
        <w:drawing>
          <wp:inline distT="0" distB="0" distL="0" distR="0" wp14:anchorId="4FEAAD94" wp14:editId="7911D9EF">
            <wp:extent cx="1147230" cy="820102"/>
            <wp:effectExtent l="0" t="0" r="0" b="0"/>
            <wp:docPr id="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7" cstate="print"/>
                    <a:stretch>
                      <a:fillRect/>
                    </a:stretch>
                  </pic:blipFill>
                  <pic:spPr>
                    <a:xfrm>
                      <a:off x="0" y="0"/>
                      <a:ext cx="1147230" cy="820102"/>
                    </a:xfrm>
                    <a:prstGeom prst="rect">
                      <a:avLst/>
                    </a:prstGeom>
                  </pic:spPr>
                </pic:pic>
              </a:graphicData>
            </a:graphic>
          </wp:inline>
        </w:drawing>
      </w:r>
    </w:p>
    <w:p w:rsidR="00700737" w:rsidRPr="00453CBD" w:rsidRDefault="00700737">
      <w:pPr>
        <w:pStyle w:val="GvdeMetni"/>
        <w:rPr>
          <w:rFonts w:ascii="Times New Roman"/>
          <w:sz w:val="18"/>
          <w:szCs w:val="18"/>
        </w:rPr>
      </w:pPr>
    </w:p>
    <w:p w:rsidR="00700737" w:rsidRPr="00453CBD" w:rsidRDefault="00700737">
      <w:pPr>
        <w:pStyle w:val="GvdeMetni"/>
        <w:rPr>
          <w:rFonts w:ascii="Times New Roman"/>
          <w:sz w:val="16"/>
          <w:szCs w:val="18"/>
        </w:rPr>
      </w:pPr>
    </w:p>
    <w:p w:rsidR="00700737" w:rsidRPr="00453CBD" w:rsidRDefault="00453CBD">
      <w:pPr>
        <w:pStyle w:val="GvdeMetni"/>
        <w:spacing w:before="100" w:line="247" w:lineRule="auto"/>
        <w:ind w:left="130" w:right="5796"/>
        <w:rPr>
          <w:sz w:val="18"/>
          <w:szCs w:val="18"/>
        </w:rPr>
      </w:pPr>
      <w:r w:rsidRPr="00453CBD">
        <w:rPr>
          <w:sz w:val="18"/>
          <w:szCs w:val="18"/>
        </w:rPr>
        <w:t>2017 AIPPI (Uluslararası Fikri Mülkiyet Haklarını Koruma Derneği) Dünya Kongresi- Sydney Alınan Karar</w:t>
      </w:r>
    </w:p>
    <w:p w:rsidR="00700737" w:rsidRPr="00453CBD" w:rsidRDefault="00453CBD">
      <w:pPr>
        <w:pStyle w:val="GvdeMetni"/>
        <w:spacing w:line="228" w:lineRule="exact"/>
        <w:ind w:left="130"/>
        <w:rPr>
          <w:sz w:val="18"/>
          <w:szCs w:val="18"/>
        </w:rPr>
      </w:pPr>
      <w:r w:rsidRPr="00453CBD">
        <w:rPr>
          <w:sz w:val="18"/>
          <w:szCs w:val="18"/>
        </w:rPr>
        <w:t>17 Ekim 2017</w:t>
      </w:r>
    </w:p>
    <w:p w:rsidR="00700737" w:rsidRPr="00453CBD" w:rsidRDefault="00700737">
      <w:pPr>
        <w:pStyle w:val="GvdeMetni"/>
        <w:rPr>
          <w:sz w:val="18"/>
          <w:szCs w:val="18"/>
        </w:rPr>
      </w:pPr>
    </w:p>
    <w:p w:rsidR="00700737" w:rsidRPr="00453CBD" w:rsidRDefault="00700737">
      <w:pPr>
        <w:pStyle w:val="GvdeMetni"/>
        <w:rPr>
          <w:sz w:val="18"/>
          <w:szCs w:val="18"/>
        </w:rPr>
      </w:pPr>
    </w:p>
    <w:p w:rsidR="00700737" w:rsidRPr="00453CBD" w:rsidRDefault="00700737">
      <w:pPr>
        <w:pStyle w:val="GvdeMetni"/>
        <w:spacing w:before="10"/>
        <w:rPr>
          <w:szCs w:val="18"/>
        </w:rPr>
      </w:pPr>
    </w:p>
    <w:p w:rsidR="00700737" w:rsidRPr="00453CBD" w:rsidRDefault="00453CBD">
      <w:pPr>
        <w:pStyle w:val="Balk1"/>
        <w:ind w:left="3835" w:right="4500"/>
        <w:jc w:val="center"/>
        <w:rPr>
          <w:sz w:val="18"/>
          <w:szCs w:val="18"/>
        </w:rPr>
      </w:pPr>
      <w:r w:rsidRPr="00453CBD">
        <w:rPr>
          <w:sz w:val="18"/>
          <w:szCs w:val="18"/>
        </w:rPr>
        <w:t>Karar</w:t>
      </w:r>
    </w:p>
    <w:p w:rsidR="00700737" w:rsidRPr="00453CBD" w:rsidRDefault="00700737">
      <w:pPr>
        <w:pStyle w:val="GvdeMetni"/>
        <w:spacing w:before="3"/>
        <w:rPr>
          <w:b/>
          <w:sz w:val="18"/>
          <w:szCs w:val="18"/>
        </w:rPr>
      </w:pPr>
    </w:p>
    <w:p w:rsidR="00700737" w:rsidRPr="00453CBD" w:rsidRDefault="00453CBD">
      <w:pPr>
        <w:spacing w:after="18" w:line="499" w:lineRule="auto"/>
        <w:ind w:left="2503" w:right="3169" w:hanging="6"/>
        <w:jc w:val="center"/>
        <w:rPr>
          <w:b/>
          <w:sz w:val="18"/>
          <w:szCs w:val="20"/>
        </w:rPr>
      </w:pPr>
      <w:r w:rsidRPr="00453CBD">
        <w:rPr>
          <w:b/>
          <w:sz w:val="18"/>
          <w:szCs w:val="20"/>
        </w:rPr>
        <w:t>2017 – Çalışma Sorusu (Genel)</w:t>
      </w:r>
      <w:r w:rsidRPr="00453CBD">
        <w:rPr>
          <w:b/>
          <w:sz w:val="18"/>
          <w:szCs w:val="20"/>
        </w:rPr>
        <w:br/>
        <w:t>Grafik kullanıcı arayüzlerinin korunması</w:t>
      </w:r>
    </w:p>
    <w:p w:rsidR="00700737" w:rsidRPr="00453CBD" w:rsidRDefault="00453CBD">
      <w:pPr>
        <w:pStyle w:val="GvdeMetni"/>
        <w:spacing w:line="20" w:lineRule="exact"/>
        <w:ind w:left="100"/>
        <w:rPr>
          <w:sz w:val="2"/>
          <w:szCs w:val="18"/>
        </w:rPr>
      </w:pPr>
      <w:r w:rsidRPr="00453CBD">
        <w:rPr>
          <w:rFonts w:ascii="Times New Roman"/>
          <w:sz w:val="2"/>
          <w:szCs w:val="18"/>
        </w:rPr>
        <w:t xml:space="preserve"> </w:t>
      </w:r>
      <w:r w:rsidR="008468BA">
        <w:rPr>
          <w:noProof/>
          <w:sz w:val="2"/>
          <w:szCs w:val="18"/>
          <w:lang w:eastAsia="tr-TR"/>
        </w:rPr>
        <mc:AlternateContent>
          <mc:Choice Requires="wpg">
            <w:drawing>
              <wp:inline distT="0" distB="0" distL="0" distR="0" wp14:anchorId="5BDA8561">
                <wp:extent cx="5450205" cy="5080"/>
                <wp:effectExtent l="0" t="0" r="0" b="0"/>
                <wp:docPr id="2" name="517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450205" cy="5080"/>
                          <a:chOff x="0" y="0"/>
                          <a:chExt cx="8583" cy="8"/>
                        </a:xfrm>
                      </wpg:grpSpPr>
                      <wps:wsp>
                        <wps:cNvPr id="3" name="5332"/>
                        <wps:cNvCnPr>
                          <a:cxnSpLocks/>
                        </wps:cNvCnPr>
                        <wps:spPr bwMode="auto">
                          <a:xfrm>
                            <a:off x="0" y="4"/>
                            <a:ext cx="8582" cy="0"/>
                          </a:xfrm>
                          <a:prstGeom prst="line">
                            <a:avLst/>
                          </a:prstGeom>
                          <a:noFill/>
                          <a:ln w="4572">
                            <a:solidFill>
                              <a:srgbClr val="00000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w:pict>
              <v:group w14:anchorId="0496EE7E" id="5177" o:spid="_x0000_s1026" style="width:429.15pt;height:.4pt;mso-position-horizontal-relative:char;mso-position-vertical-relative:line" coordsize="8583,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">
                <v:line id="5332" o:spid="_x0000_s1027" style="position:absolute;visibility:visible;mso-wrap-style:square" from="0,4" to="8582,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" strokeweight=".36pt">
                  <o:lock v:ext="edit" shapetype="f"/>
                </v:line>
                <w10:anchorlock/>
              </v:group>
            </w:pict>
          </mc:Fallback>
        </mc:AlternateContent>
      </w:r>
    </w:p>
    <w:p w:rsidR="00700737" w:rsidRPr="00453CBD" w:rsidRDefault="00700737">
      <w:pPr>
        <w:pStyle w:val="GvdeMetni"/>
        <w:rPr>
          <w:b/>
          <w:sz w:val="18"/>
          <w:szCs w:val="18"/>
        </w:rPr>
      </w:pPr>
    </w:p>
    <w:p w:rsidR="00700737" w:rsidRPr="00453CBD" w:rsidRDefault="00700737">
      <w:pPr>
        <w:pStyle w:val="GvdeMetni"/>
        <w:spacing w:before="9"/>
        <w:rPr>
          <w:b/>
          <w:sz w:val="18"/>
          <w:szCs w:val="18"/>
        </w:rPr>
      </w:pPr>
    </w:p>
    <w:p w:rsidR="00700737" w:rsidRPr="00453CBD" w:rsidRDefault="00453CBD">
      <w:pPr>
        <w:ind w:left="130"/>
        <w:rPr>
          <w:b/>
          <w:sz w:val="18"/>
          <w:szCs w:val="20"/>
        </w:rPr>
      </w:pPr>
      <w:r w:rsidRPr="00453CBD">
        <w:rPr>
          <w:b/>
          <w:sz w:val="18"/>
          <w:szCs w:val="20"/>
        </w:rPr>
        <w:t>Ön Bilgi:</w:t>
      </w:r>
    </w:p>
    <w:p w:rsidR="00700737" w:rsidRPr="00453CBD" w:rsidRDefault="00700737">
      <w:pPr>
        <w:pStyle w:val="GvdeMetni"/>
        <w:spacing w:before="3"/>
        <w:rPr>
          <w:b/>
          <w:sz w:val="18"/>
          <w:szCs w:val="18"/>
        </w:rPr>
      </w:pPr>
    </w:p>
    <w:p w:rsidR="00700737" w:rsidRPr="00453CBD" w:rsidRDefault="00453CBD">
      <w:pPr>
        <w:pStyle w:val="ListeParagraf"/>
        <w:numPr>
          <w:ilvl w:val="0"/>
          <w:numId w:val="3"/>
        </w:numPr>
        <w:tabs>
          <w:tab w:val="left" w:pos="796"/>
        </w:tabs>
        <w:spacing w:line="247" w:lineRule="auto"/>
        <w:ind w:right="799"/>
        <w:jc w:val="both"/>
        <w:rPr>
          <w:sz w:val="18"/>
          <w:szCs w:val="20"/>
        </w:rPr>
      </w:pPr>
      <w:r w:rsidRPr="00453CBD">
        <w:rPr>
          <w:sz w:val="18"/>
          <w:szCs w:val="20"/>
        </w:rPr>
        <w:t>Bu Karar, grafiksel kullanıcı arayüzlerinin (</w:t>
      </w:r>
      <w:r w:rsidRPr="00453CBD">
        <w:rPr>
          <w:b/>
          <w:i/>
          <w:sz w:val="18"/>
          <w:szCs w:val="20"/>
        </w:rPr>
        <w:t>GUI</w:t>
      </w:r>
      <w:r w:rsidRPr="00453CBD">
        <w:rPr>
          <w:sz w:val="18"/>
          <w:szCs w:val="20"/>
        </w:rPr>
        <w:t>’lar) çeşitli fikri mülkiyet hakları (</w:t>
      </w:r>
      <w:r w:rsidRPr="00453CBD">
        <w:rPr>
          <w:b/>
          <w:i/>
          <w:sz w:val="18"/>
          <w:szCs w:val="20"/>
        </w:rPr>
        <w:t>IP hakları</w:t>
      </w:r>
      <w:r w:rsidRPr="00453CBD">
        <w:rPr>
          <w:sz w:val="18"/>
          <w:szCs w:val="20"/>
        </w:rPr>
        <w:t>) tarafından korunup korunamayacağı ve nasıl korunabileceği hakkındadır.</w:t>
      </w:r>
    </w:p>
    <w:p w:rsidR="00700737" w:rsidRPr="00453CBD" w:rsidRDefault="00700737">
      <w:pPr>
        <w:pStyle w:val="GvdeMetni"/>
        <w:spacing w:before="8"/>
        <w:rPr>
          <w:sz w:val="18"/>
          <w:szCs w:val="18"/>
        </w:rPr>
      </w:pPr>
    </w:p>
    <w:p w:rsidR="00700737" w:rsidRPr="00453CBD" w:rsidRDefault="00453CBD">
      <w:pPr>
        <w:pStyle w:val="ListeParagraf"/>
        <w:numPr>
          <w:ilvl w:val="0"/>
          <w:numId w:val="3"/>
        </w:numPr>
        <w:tabs>
          <w:tab w:val="left" w:pos="796"/>
        </w:tabs>
        <w:spacing w:line="247" w:lineRule="auto"/>
        <w:ind w:right="798"/>
        <w:jc w:val="both"/>
        <w:rPr>
          <w:sz w:val="18"/>
          <w:szCs w:val="20"/>
        </w:rPr>
      </w:pPr>
      <w:r w:rsidRPr="00453CBD">
        <w:rPr>
          <w:sz w:val="18"/>
          <w:szCs w:val="20"/>
        </w:rPr>
        <w:t>Bu Karar</w:t>
      </w:r>
      <w:r w:rsidR="008468BA">
        <w:rPr>
          <w:sz w:val="18"/>
          <w:szCs w:val="20"/>
        </w:rPr>
        <w:t xml:space="preserve"> kapsamında</w:t>
      </w:r>
      <w:r w:rsidRPr="00453CBD">
        <w:rPr>
          <w:sz w:val="18"/>
          <w:szCs w:val="20"/>
        </w:rPr>
        <w:t xml:space="preserve"> </w:t>
      </w:r>
      <w:r w:rsidRPr="00453CBD">
        <w:rPr>
          <w:b/>
          <w:sz w:val="18"/>
          <w:szCs w:val="20"/>
        </w:rPr>
        <w:t>GUI</w:t>
      </w:r>
      <w:r w:rsidRPr="00453CBD">
        <w:rPr>
          <w:sz w:val="18"/>
          <w:szCs w:val="20"/>
        </w:rPr>
        <w:t xml:space="preserve"> kavramı, kullanıcıların harf girmek yerine grafiksel unsurlar (örneğin ikon, menü, kaydırma çubuğu, pencereler, geçiş animasyonu, diyalog kutusu) aracılığıyla elektronik cihazlarla etkileşime girmelerine izin veren bir arayüz anlamına gelmektedir.</w:t>
      </w:r>
    </w:p>
    <w:p w:rsidR="00700737" w:rsidRPr="00453CBD" w:rsidRDefault="00700737">
      <w:pPr>
        <w:pStyle w:val="GvdeMetni"/>
        <w:spacing w:before="8"/>
        <w:rPr>
          <w:sz w:val="18"/>
          <w:szCs w:val="18"/>
        </w:rPr>
      </w:pPr>
    </w:p>
    <w:p w:rsidR="00700737" w:rsidRPr="00453CBD" w:rsidRDefault="00453CBD">
      <w:pPr>
        <w:pStyle w:val="ListeParagraf"/>
        <w:numPr>
          <w:ilvl w:val="0"/>
          <w:numId w:val="3"/>
        </w:numPr>
        <w:tabs>
          <w:tab w:val="left" w:pos="796"/>
        </w:tabs>
        <w:spacing w:line="247" w:lineRule="auto"/>
        <w:ind w:right="795"/>
        <w:jc w:val="both"/>
        <w:rPr>
          <w:sz w:val="18"/>
          <w:szCs w:val="20"/>
        </w:rPr>
      </w:pPr>
      <w:r w:rsidRPr="00453CBD">
        <w:rPr>
          <w:sz w:val="18"/>
          <w:szCs w:val="20"/>
        </w:rPr>
        <w:t>Bu Çalışma Sorusunun başlıca konusu GUI’ların aşağıda ismi verilen “geleneksel” IP hakları tarafından korunması gerekip gerekmediğidir:</w:t>
      </w:r>
    </w:p>
    <w:p w:rsidR="00700737" w:rsidRPr="00453CBD" w:rsidRDefault="00700737">
      <w:pPr>
        <w:pStyle w:val="GvdeMetni"/>
        <w:rPr>
          <w:sz w:val="18"/>
          <w:szCs w:val="18"/>
        </w:rPr>
      </w:pPr>
    </w:p>
    <w:p w:rsidR="00700737" w:rsidRPr="00453CBD" w:rsidRDefault="00453CBD">
      <w:pPr>
        <w:pStyle w:val="ListeParagraf"/>
        <w:numPr>
          <w:ilvl w:val="1"/>
          <w:numId w:val="3"/>
        </w:numPr>
        <w:tabs>
          <w:tab w:val="left" w:pos="1134"/>
        </w:tabs>
        <w:ind w:hanging="338"/>
        <w:jc w:val="both"/>
        <w:rPr>
          <w:sz w:val="18"/>
          <w:szCs w:val="20"/>
        </w:rPr>
      </w:pPr>
      <w:r w:rsidRPr="00453CBD">
        <w:rPr>
          <w:sz w:val="18"/>
          <w:szCs w:val="20"/>
        </w:rPr>
        <w:t>patentler</w:t>
      </w:r>
    </w:p>
    <w:p w:rsidR="00700737" w:rsidRPr="00453CBD" w:rsidRDefault="00453CBD">
      <w:pPr>
        <w:pStyle w:val="ListeParagraf"/>
        <w:numPr>
          <w:ilvl w:val="1"/>
          <w:numId w:val="3"/>
        </w:numPr>
        <w:tabs>
          <w:tab w:val="left" w:pos="1134"/>
        </w:tabs>
        <w:spacing w:before="4"/>
        <w:ind w:hanging="338"/>
        <w:jc w:val="both"/>
        <w:rPr>
          <w:sz w:val="18"/>
          <w:szCs w:val="20"/>
        </w:rPr>
      </w:pPr>
      <w:r w:rsidRPr="00453CBD">
        <w:rPr>
          <w:sz w:val="18"/>
          <w:szCs w:val="20"/>
        </w:rPr>
        <w:t>tasarım hakları</w:t>
      </w:r>
    </w:p>
    <w:p w:rsidR="00700737" w:rsidRPr="00453CBD" w:rsidRDefault="008468BA">
      <w:pPr>
        <w:pStyle w:val="ListeParagraf"/>
        <w:numPr>
          <w:ilvl w:val="1"/>
          <w:numId w:val="3"/>
        </w:numPr>
        <w:tabs>
          <w:tab w:val="left" w:pos="1134"/>
        </w:tabs>
        <w:spacing w:before="9"/>
        <w:ind w:hanging="338"/>
        <w:jc w:val="both"/>
        <w:rPr>
          <w:sz w:val="18"/>
          <w:szCs w:val="20"/>
        </w:rPr>
      </w:pPr>
      <w:r>
        <w:rPr>
          <w:sz w:val="18"/>
          <w:szCs w:val="20"/>
        </w:rPr>
        <w:t>eser</w:t>
      </w:r>
      <w:r w:rsidR="00453CBD" w:rsidRPr="00453CBD">
        <w:rPr>
          <w:sz w:val="18"/>
          <w:szCs w:val="20"/>
        </w:rPr>
        <w:t xml:space="preserve"> hakkı ve</w:t>
      </w:r>
    </w:p>
    <w:p w:rsidR="00700737" w:rsidRPr="00453CBD" w:rsidRDefault="00453CBD">
      <w:pPr>
        <w:pStyle w:val="ListeParagraf"/>
        <w:numPr>
          <w:ilvl w:val="1"/>
          <w:numId w:val="3"/>
        </w:numPr>
        <w:tabs>
          <w:tab w:val="left" w:pos="1134"/>
        </w:tabs>
        <w:spacing w:before="7"/>
        <w:ind w:hanging="338"/>
        <w:jc w:val="both"/>
        <w:rPr>
          <w:sz w:val="18"/>
          <w:szCs w:val="20"/>
        </w:rPr>
      </w:pPr>
      <w:r w:rsidRPr="00453CBD">
        <w:rPr>
          <w:sz w:val="18"/>
          <w:szCs w:val="20"/>
        </w:rPr>
        <w:t>markalar.</w:t>
      </w:r>
    </w:p>
    <w:p w:rsidR="00700737" w:rsidRPr="00453CBD" w:rsidRDefault="00700737">
      <w:pPr>
        <w:pStyle w:val="GvdeMetni"/>
        <w:spacing w:before="11"/>
        <w:rPr>
          <w:sz w:val="18"/>
          <w:szCs w:val="18"/>
        </w:rPr>
      </w:pPr>
    </w:p>
    <w:p w:rsidR="00700737" w:rsidRPr="00453CBD" w:rsidRDefault="008468BA">
      <w:pPr>
        <w:pStyle w:val="GvdeMetni"/>
        <w:spacing w:line="249" w:lineRule="auto"/>
        <w:ind w:left="795" w:right="797"/>
        <w:jc w:val="both"/>
        <w:rPr>
          <w:sz w:val="18"/>
          <w:szCs w:val="18"/>
        </w:rPr>
      </w:pPr>
      <w:r>
        <w:rPr>
          <w:sz w:val="18"/>
          <w:szCs w:val="18"/>
        </w:rPr>
        <w:t xml:space="preserve">Yetkili yargı mercilerinin </w:t>
      </w:r>
      <w:r w:rsidR="00453CBD" w:rsidRPr="00453CBD">
        <w:rPr>
          <w:sz w:val="18"/>
          <w:szCs w:val="18"/>
        </w:rPr>
        <w:t>GUI’lar için, ticari takdim şekli koruması gibi benzer haklar aracılığıyla fikri mülkiyet korumasına izin verdiği durumlarda bu haklar, bu Çalışma Sorusunun kapsamındadır.</w:t>
      </w:r>
    </w:p>
    <w:p w:rsidR="00700737" w:rsidRPr="00453CBD" w:rsidRDefault="00700737">
      <w:pPr>
        <w:pStyle w:val="GvdeMetni"/>
        <w:spacing w:before="5"/>
        <w:rPr>
          <w:sz w:val="18"/>
          <w:szCs w:val="18"/>
        </w:rPr>
      </w:pPr>
    </w:p>
    <w:p w:rsidR="00700737" w:rsidRPr="00453CBD" w:rsidRDefault="00453CBD">
      <w:pPr>
        <w:pStyle w:val="ListeParagraf"/>
        <w:numPr>
          <w:ilvl w:val="0"/>
          <w:numId w:val="3"/>
        </w:numPr>
        <w:tabs>
          <w:tab w:val="left" w:pos="796"/>
        </w:tabs>
        <w:spacing w:before="1" w:line="247" w:lineRule="auto"/>
        <w:ind w:right="794"/>
        <w:jc w:val="both"/>
        <w:rPr>
          <w:sz w:val="18"/>
          <w:szCs w:val="20"/>
        </w:rPr>
      </w:pPr>
      <w:r w:rsidRPr="00453CBD">
        <w:rPr>
          <w:sz w:val="18"/>
          <w:szCs w:val="20"/>
        </w:rPr>
        <w:t>Tescilli olmayan ticari marka ve ticari takdim şekillerinin genel haksız rekabet ilkeleri kapsamında korunabildiği yargı daireleri haricinde bulunan, haksız rekabete ilişkin yasalar, haksız ticari uygulamalar veya genel akdi ilkeler gibi, GUI’lara da uygulanabilecek daha geniş yasal koruma biçimleri, genel itibarıyla bu Çalışma Sorusunun kapsamı dışındadır.</w:t>
      </w:r>
    </w:p>
    <w:p w:rsidR="00700737" w:rsidRPr="00453CBD" w:rsidRDefault="00700737">
      <w:pPr>
        <w:pStyle w:val="GvdeMetni"/>
        <w:spacing w:before="8"/>
        <w:rPr>
          <w:sz w:val="18"/>
          <w:szCs w:val="18"/>
        </w:rPr>
      </w:pPr>
    </w:p>
    <w:p w:rsidR="00700737" w:rsidRPr="00453CBD" w:rsidRDefault="00453CBD">
      <w:pPr>
        <w:pStyle w:val="ListeParagraf"/>
        <w:numPr>
          <w:ilvl w:val="0"/>
          <w:numId w:val="3"/>
        </w:numPr>
        <w:tabs>
          <w:tab w:val="left" w:pos="796"/>
        </w:tabs>
        <w:spacing w:line="247" w:lineRule="auto"/>
        <w:ind w:right="794"/>
        <w:jc w:val="both"/>
        <w:rPr>
          <w:sz w:val="18"/>
          <w:szCs w:val="20"/>
        </w:rPr>
      </w:pPr>
      <w:r w:rsidRPr="00453CBD">
        <w:rPr>
          <w:sz w:val="18"/>
          <w:szCs w:val="20"/>
        </w:rPr>
        <w:t>GUI’lar, kullanıcı deneyimiyle doğrudan bağlantılı olduğundan tüketicilerin ürün tercihlerini belirgin şekilde etkileyebilirler. Bu sebeple şirketler, GUI’ların geliştirilmesine ciddi kaynaklar ayırmaktadır. Bu da hem GUI’ların IP haklarının uygun şekilde korunmasının hem de IP hakları zemininde faaliyet gösterme özgürlüğünün, yerleşik şirketler ve piyasaya yeni katılanlar için çok önemli ekonomik konular olduğu anlamına gelir. GUI’lar potansiyel olarak, patent, tasarım ve telif hakları ve ticari markalar dahil IP hakları tarafından korunabilir.</w:t>
      </w:r>
    </w:p>
    <w:p w:rsidR="00700737" w:rsidRPr="00453CBD" w:rsidRDefault="00700737">
      <w:pPr>
        <w:spacing w:line="247" w:lineRule="auto"/>
        <w:jc w:val="both"/>
        <w:rPr>
          <w:sz w:val="18"/>
          <w:szCs w:val="20"/>
        </w:rPr>
        <w:sectPr w:rsidR="00700737" w:rsidRPr="00453CBD">
          <w:footerReference w:type="default" r:id="rId8"/>
          <w:type w:val="continuous"/>
          <w:pgSz w:w="12240" w:h="15840"/>
          <w:pgMar w:top="520" w:right="1060" w:bottom="1580" w:left="1720" w:header="708" w:footer="1392" w:gutter="0"/>
          <w:pgNumType w:start="1"/>
          <w:cols w:space="708"/>
        </w:sectPr>
      </w:pPr>
    </w:p>
    <w:p w:rsidR="00700737" w:rsidRPr="00453CBD" w:rsidRDefault="008468BA">
      <w:pPr>
        <w:pStyle w:val="ListeParagraf"/>
        <w:numPr>
          <w:ilvl w:val="0"/>
          <w:numId w:val="3"/>
        </w:numPr>
        <w:tabs>
          <w:tab w:val="left" w:pos="796"/>
        </w:tabs>
        <w:spacing w:before="76" w:line="247" w:lineRule="auto"/>
        <w:ind w:right="137"/>
        <w:jc w:val="both"/>
        <w:rPr>
          <w:sz w:val="18"/>
          <w:szCs w:val="20"/>
        </w:rPr>
      </w:pPr>
      <w:r>
        <w:rPr>
          <w:sz w:val="18"/>
          <w:szCs w:val="20"/>
        </w:rPr>
        <w:lastRenderedPageBreak/>
        <w:t>Yazılımlar, d</w:t>
      </w:r>
      <w:r w:rsidR="00453CBD" w:rsidRPr="00453CBD">
        <w:rPr>
          <w:sz w:val="18"/>
          <w:szCs w:val="20"/>
        </w:rPr>
        <w:t>oğa</w:t>
      </w:r>
      <w:r>
        <w:rPr>
          <w:sz w:val="18"/>
          <w:szCs w:val="20"/>
        </w:rPr>
        <w:t>lar</w:t>
      </w:r>
      <w:r w:rsidR="00453CBD" w:rsidRPr="00453CBD">
        <w:rPr>
          <w:sz w:val="18"/>
          <w:szCs w:val="20"/>
        </w:rPr>
        <w:t>ı gereği, geniş bir uygula</w:t>
      </w:r>
      <w:r>
        <w:rPr>
          <w:sz w:val="18"/>
          <w:szCs w:val="20"/>
        </w:rPr>
        <w:t>ma alanında kullanılmak</w:t>
      </w:r>
      <w:r w:rsidR="00453CBD" w:rsidRPr="00453CBD">
        <w:rPr>
          <w:sz w:val="18"/>
          <w:szCs w:val="20"/>
        </w:rPr>
        <w:t xml:space="preserve"> üzere geliştirilir. Bilgisayar, akıllı telefon, tablet, oyun cihazları ve diğer sabit ve taşınabilir makineler GUI’ların ilgili olduğu endüstrilerden sadece bazılarıdır. Bu endüstriler oldukça rekabetçi olup faaliyetleri ulusal sınırların ötesine uzanmaktadır. Farklı türdeki IP hakkı korumaları GUI’ların farklı yönlerine uygulanabilir ve böylece hangi koruma türü veya koruma türü kombinasyonlarının mevcut olduğu veya olması gerektiğine dair soruları gündeme getirebilirler. Ayrıca belirli IP haklarının GUI’lara uygulanıp uygulanmayacağı veya nasıl uygulanacağına dair yargı daireleri arasındaki farklılıklarla birlikte, GUI’lara ilişkin mevcut IP haklarının korunmasının uyumlaştırılması arzu edilir.</w:t>
      </w:r>
    </w:p>
    <w:p w:rsidR="00700737" w:rsidRPr="00453CBD" w:rsidRDefault="00700737">
      <w:pPr>
        <w:pStyle w:val="GvdeMetni"/>
        <w:spacing w:before="5"/>
        <w:rPr>
          <w:sz w:val="18"/>
          <w:szCs w:val="18"/>
        </w:rPr>
      </w:pPr>
    </w:p>
    <w:p w:rsidR="00700737" w:rsidRPr="00453CBD" w:rsidRDefault="00453CBD">
      <w:pPr>
        <w:pStyle w:val="ListeParagraf"/>
        <w:numPr>
          <w:ilvl w:val="0"/>
          <w:numId w:val="3"/>
        </w:numPr>
        <w:tabs>
          <w:tab w:val="left" w:pos="796"/>
        </w:tabs>
        <w:spacing w:line="249" w:lineRule="auto"/>
        <w:ind w:right="137"/>
        <w:jc w:val="both"/>
        <w:rPr>
          <w:sz w:val="18"/>
          <w:szCs w:val="20"/>
        </w:rPr>
      </w:pPr>
      <w:r w:rsidRPr="00453CBD">
        <w:rPr>
          <w:sz w:val="18"/>
          <w:szCs w:val="20"/>
        </w:rPr>
        <w:t>AIPPI Ulusal ve Bölgesel Grupları ve Bağımsız Üyelerinden, bu Karara ilişkin ulusal ve bölgesel yasalarla ilgili ayrıntılı bilgi ve analizler sunan 39 adet Rapor alınmıştır. Bu Raporlar, AIPPI Genel Raportörü tarafından incelenmiş olup bir Özet Rapor haline getirilmiştir (Aşağıdaki bağlantılara bakınız).</w:t>
      </w:r>
    </w:p>
    <w:p w:rsidR="00700737" w:rsidRPr="00453CBD" w:rsidRDefault="00700737">
      <w:pPr>
        <w:pStyle w:val="GvdeMetni"/>
        <w:spacing w:before="7"/>
        <w:rPr>
          <w:sz w:val="18"/>
          <w:szCs w:val="18"/>
        </w:rPr>
      </w:pPr>
    </w:p>
    <w:p w:rsidR="00700737" w:rsidRPr="00453CBD" w:rsidRDefault="00453CBD">
      <w:pPr>
        <w:pStyle w:val="ListeParagraf"/>
        <w:numPr>
          <w:ilvl w:val="0"/>
          <w:numId w:val="3"/>
        </w:numPr>
        <w:tabs>
          <w:tab w:val="left" w:pos="796"/>
        </w:tabs>
        <w:spacing w:before="1" w:line="247" w:lineRule="auto"/>
        <w:ind w:right="137"/>
        <w:jc w:val="both"/>
        <w:rPr>
          <w:sz w:val="18"/>
          <w:szCs w:val="20"/>
        </w:rPr>
      </w:pPr>
      <w:r w:rsidRPr="00453CBD">
        <w:rPr>
          <w:sz w:val="18"/>
          <w:szCs w:val="20"/>
        </w:rPr>
        <w:t xml:space="preserve">Bu Kararın konusu, Ekim 2017'de Sydney’de yapılan AIPPI Dünya Kongresinde özel bir Çalışma Komitesi bünyesinde ve yine bir tam katılımlı Genel Oturumda daha detaylı olarak görüşülmüş ve akabinde AIPPI Yürütme Komitesi tarafından </w:t>
      </w:r>
      <w:r w:rsidR="008468BA">
        <w:rPr>
          <w:sz w:val="18"/>
          <w:szCs w:val="20"/>
        </w:rPr>
        <w:t xml:space="preserve">işbu </w:t>
      </w:r>
      <w:r w:rsidRPr="00453CBD">
        <w:rPr>
          <w:sz w:val="18"/>
          <w:szCs w:val="20"/>
        </w:rPr>
        <w:t>Karar alınmıştır.</w:t>
      </w:r>
    </w:p>
    <w:p w:rsidR="00700737" w:rsidRPr="00453CBD" w:rsidRDefault="00700737">
      <w:pPr>
        <w:pStyle w:val="GvdeMetni"/>
        <w:rPr>
          <w:szCs w:val="18"/>
        </w:rPr>
      </w:pPr>
    </w:p>
    <w:p w:rsidR="00700737" w:rsidRPr="00453CBD" w:rsidRDefault="00700737">
      <w:pPr>
        <w:pStyle w:val="GvdeMetni"/>
        <w:spacing w:before="4"/>
        <w:rPr>
          <w:sz w:val="16"/>
          <w:szCs w:val="18"/>
        </w:rPr>
      </w:pPr>
    </w:p>
    <w:p w:rsidR="00700737" w:rsidRPr="00453CBD" w:rsidRDefault="00453CBD">
      <w:pPr>
        <w:pStyle w:val="Balk1"/>
        <w:rPr>
          <w:sz w:val="18"/>
          <w:szCs w:val="18"/>
        </w:rPr>
      </w:pPr>
      <w:r w:rsidRPr="00453CBD">
        <w:rPr>
          <w:sz w:val="18"/>
          <w:szCs w:val="18"/>
        </w:rPr>
        <w:t>AIPPI aşağıdaki kararları almıştır:</w:t>
      </w:r>
    </w:p>
    <w:p w:rsidR="00700737" w:rsidRPr="00453CBD" w:rsidRDefault="00700737">
      <w:pPr>
        <w:pStyle w:val="GvdeMetni"/>
        <w:rPr>
          <w:b/>
          <w:sz w:val="18"/>
          <w:szCs w:val="18"/>
        </w:rPr>
      </w:pPr>
    </w:p>
    <w:p w:rsidR="00700737" w:rsidRPr="00453CBD" w:rsidRDefault="00453CBD">
      <w:pPr>
        <w:ind w:left="130"/>
        <w:rPr>
          <w:i/>
          <w:sz w:val="18"/>
          <w:szCs w:val="20"/>
        </w:rPr>
      </w:pPr>
      <w:r w:rsidRPr="00453CBD">
        <w:rPr>
          <w:i/>
          <w:sz w:val="18"/>
          <w:szCs w:val="20"/>
          <w:u w:val="single"/>
        </w:rPr>
        <w:t>Patentler</w:t>
      </w:r>
    </w:p>
    <w:p w:rsidR="00700737" w:rsidRPr="00453CBD" w:rsidRDefault="00700737">
      <w:pPr>
        <w:pStyle w:val="GvdeMetni"/>
        <w:spacing w:before="8"/>
        <w:rPr>
          <w:i/>
          <w:sz w:val="10"/>
          <w:szCs w:val="18"/>
        </w:rPr>
      </w:pPr>
    </w:p>
    <w:p w:rsidR="00700737" w:rsidRPr="00453CBD" w:rsidRDefault="00453CBD">
      <w:pPr>
        <w:pStyle w:val="ListeParagraf"/>
        <w:numPr>
          <w:ilvl w:val="0"/>
          <w:numId w:val="2"/>
        </w:numPr>
        <w:tabs>
          <w:tab w:val="left" w:pos="795"/>
          <w:tab w:val="left" w:pos="796"/>
        </w:tabs>
        <w:spacing w:before="101"/>
        <w:rPr>
          <w:sz w:val="18"/>
          <w:szCs w:val="20"/>
        </w:rPr>
      </w:pPr>
      <w:r w:rsidRPr="00453CBD">
        <w:rPr>
          <w:sz w:val="18"/>
          <w:szCs w:val="20"/>
        </w:rPr>
        <w:t>GUI’ların genel olarak patent</w:t>
      </w:r>
      <w:r w:rsidR="008468BA">
        <w:rPr>
          <w:sz w:val="18"/>
          <w:szCs w:val="20"/>
        </w:rPr>
        <w:t xml:space="preserve"> hakkı çerçevesinde</w:t>
      </w:r>
      <w:r w:rsidRPr="00453CBD">
        <w:rPr>
          <w:sz w:val="18"/>
          <w:szCs w:val="20"/>
        </w:rPr>
        <w:t xml:space="preserve"> korunabilir olması gerekir.</w:t>
      </w:r>
    </w:p>
    <w:p w:rsidR="00700737" w:rsidRPr="00453CBD" w:rsidRDefault="00700737">
      <w:pPr>
        <w:pStyle w:val="GvdeMetni"/>
        <w:spacing w:before="3"/>
        <w:rPr>
          <w:sz w:val="18"/>
          <w:szCs w:val="18"/>
        </w:rPr>
      </w:pPr>
    </w:p>
    <w:p w:rsidR="00700737" w:rsidRPr="00453CBD" w:rsidRDefault="00453CBD">
      <w:pPr>
        <w:pStyle w:val="ListeParagraf"/>
        <w:numPr>
          <w:ilvl w:val="0"/>
          <w:numId w:val="2"/>
        </w:numPr>
        <w:tabs>
          <w:tab w:val="left" w:pos="795"/>
          <w:tab w:val="left" w:pos="796"/>
        </w:tabs>
        <w:spacing w:line="247" w:lineRule="auto"/>
        <w:ind w:right="137"/>
        <w:rPr>
          <w:sz w:val="18"/>
          <w:szCs w:val="20"/>
        </w:rPr>
      </w:pPr>
      <w:r w:rsidRPr="00453CBD">
        <w:rPr>
          <w:sz w:val="18"/>
          <w:szCs w:val="20"/>
        </w:rPr>
        <w:t>Bir kullanıcının zihinsel faaliyetlerinin bir GUI ile etkileşime dahil olması, GUI patentlenebilirliğine engel teşkil etmemelidir.</w:t>
      </w:r>
    </w:p>
    <w:p w:rsidR="00700737" w:rsidRPr="00453CBD" w:rsidRDefault="00700737">
      <w:pPr>
        <w:pStyle w:val="GvdeMetni"/>
        <w:spacing w:before="10"/>
        <w:rPr>
          <w:sz w:val="18"/>
          <w:szCs w:val="18"/>
        </w:rPr>
      </w:pPr>
    </w:p>
    <w:p w:rsidR="00700737" w:rsidRPr="00453CBD" w:rsidRDefault="00453CBD">
      <w:pPr>
        <w:pStyle w:val="ListeParagraf"/>
        <w:numPr>
          <w:ilvl w:val="0"/>
          <w:numId w:val="2"/>
        </w:numPr>
        <w:tabs>
          <w:tab w:val="left" w:pos="795"/>
          <w:tab w:val="left" w:pos="796"/>
        </w:tabs>
        <w:rPr>
          <w:sz w:val="18"/>
          <w:szCs w:val="20"/>
        </w:rPr>
      </w:pPr>
      <w:r w:rsidRPr="00453CBD">
        <w:rPr>
          <w:sz w:val="18"/>
          <w:szCs w:val="20"/>
        </w:rPr>
        <w:t>Bir GUI isteminin fiziksel bir özelliğinin bulunması bir ön şart olmamalıdır.</w:t>
      </w:r>
    </w:p>
    <w:p w:rsidR="00700737" w:rsidRPr="00453CBD" w:rsidRDefault="00700737">
      <w:pPr>
        <w:pStyle w:val="GvdeMetni"/>
        <w:spacing w:before="1"/>
        <w:rPr>
          <w:sz w:val="18"/>
          <w:szCs w:val="18"/>
        </w:rPr>
      </w:pPr>
    </w:p>
    <w:p w:rsidR="00700737" w:rsidRPr="00453CBD" w:rsidRDefault="00453CBD">
      <w:pPr>
        <w:pStyle w:val="ListeParagraf"/>
        <w:numPr>
          <w:ilvl w:val="0"/>
          <w:numId w:val="2"/>
        </w:numPr>
        <w:tabs>
          <w:tab w:val="left" w:pos="795"/>
          <w:tab w:val="left" w:pos="796"/>
        </w:tabs>
        <w:rPr>
          <w:sz w:val="18"/>
          <w:szCs w:val="20"/>
        </w:rPr>
      </w:pPr>
      <w:r w:rsidRPr="00453CBD">
        <w:rPr>
          <w:sz w:val="18"/>
          <w:szCs w:val="20"/>
        </w:rPr>
        <w:t>GUI’ların patent koruması için belirli bir istem formatı gerekmemelidir.</w:t>
      </w:r>
    </w:p>
    <w:p w:rsidR="00700737" w:rsidRPr="00453CBD" w:rsidRDefault="00700737">
      <w:pPr>
        <w:pStyle w:val="GvdeMetni"/>
        <w:spacing w:before="3"/>
        <w:rPr>
          <w:sz w:val="18"/>
          <w:szCs w:val="18"/>
        </w:rPr>
      </w:pPr>
    </w:p>
    <w:p w:rsidR="00700737" w:rsidRPr="00453CBD" w:rsidRDefault="00453CBD">
      <w:pPr>
        <w:ind w:left="130"/>
        <w:rPr>
          <w:i/>
          <w:sz w:val="18"/>
          <w:szCs w:val="20"/>
        </w:rPr>
      </w:pPr>
      <w:r w:rsidRPr="00453CBD">
        <w:rPr>
          <w:i/>
          <w:sz w:val="18"/>
          <w:szCs w:val="20"/>
          <w:u w:val="single"/>
        </w:rPr>
        <w:t>Tasarımlar</w:t>
      </w:r>
    </w:p>
    <w:p w:rsidR="00700737" w:rsidRPr="00453CBD" w:rsidRDefault="00700737">
      <w:pPr>
        <w:pStyle w:val="GvdeMetni"/>
        <w:spacing w:before="8"/>
        <w:rPr>
          <w:i/>
          <w:sz w:val="10"/>
          <w:szCs w:val="18"/>
        </w:rPr>
      </w:pPr>
    </w:p>
    <w:p w:rsidR="00700737" w:rsidRPr="00453CBD" w:rsidRDefault="00453CBD">
      <w:pPr>
        <w:pStyle w:val="ListeParagraf"/>
        <w:numPr>
          <w:ilvl w:val="0"/>
          <w:numId w:val="2"/>
        </w:numPr>
        <w:tabs>
          <w:tab w:val="left" w:pos="795"/>
          <w:tab w:val="left" w:pos="796"/>
        </w:tabs>
        <w:spacing w:before="101"/>
        <w:rPr>
          <w:sz w:val="18"/>
          <w:szCs w:val="20"/>
        </w:rPr>
      </w:pPr>
      <w:r w:rsidRPr="00453CBD">
        <w:rPr>
          <w:sz w:val="18"/>
          <w:szCs w:val="20"/>
        </w:rPr>
        <w:t>GUI’ların genel olarak tasarım hak</w:t>
      </w:r>
      <w:r w:rsidR="00C545ED">
        <w:rPr>
          <w:sz w:val="18"/>
          <w:szCs w:val="20"/>
        </w:rPr>
        <w:t xml:space="preserve">kı çerçevesinde </w:t>
      </w:r>
      <w:r w:rsidRPr="00453CBD">
        <w:rPr>
          <w:sz w:val="18"/>
          <w:szCs w:val="20"/>
        </w:rPr>
        <w:t>korunabilir olması gerekir.</w:t>
      </w:r>
    </w:p>
    <w:p w:rsidR="00700737" w:rsidRPr="00453CBD" w:rsidRDefault="00700737">
      <w:pPr>
        <w:pStyle w:val="GvdeMetni"/>
        <w:spacing w:before="3"/>
        <w:rPr>
          <w:sz w:val="18"/>
          <w:szCs w:val="18"/>
        </w:rPr>
      </w:pPr>
    </w:p>
    <w:p w:rsidR="00700737" w:rsidRPr="00453CBD" w:rsidRDefault="00453CBD">
      <w:pPr>
        <w:pStyle w:val="ListeParagraf"/>
        <w:numPr>
          <w:ilvl w:val="0"/>
          <w:numId w:val="2"/>
        </w:numPr>
        <w:tabs>
          <w:tab w:val="left" w:pos="795"/>
          <w:tab w:val="left" w:pos="796"/>
        </w:tabs>
        <w:spacing w:line="247" w:lineRule="auto"/>
        <w:ind w:right="137"/>
        <w:rPr>
          <w:sz w:val="18"/>
          <w:szCs w:val="20"/>
        </w:rPr>
      </w:pPr>
      <w:r w:rsidRPr="00453CBD">
        <w:rPr>
          <w:sz w:val="18"/>
          <w:szCs w:val="20"/>
        </w:rPr>
        <w:t>Bir GUI’da bulunan hareket geçişlerin</w:t>
      </w:r>
      <w:r w:rsidR="00C545ED">
        <w:rPr>
          <w:sz w:val="18"/>
          <w:szCs w:val="20"/>
        </w:rPr>
        <w:t>in</w:t>
      </w:r>
      <w:r w:rsidRPr="00453CBD">
        <w:rPr>
          <w:sz w:val="18"/>
          <w:szCs w:val="20"/>
        </w:rPr>
        <w:t xml:space="preserve"> genel olarak tasarım </w:t>
      </w:r>
      <w:r w:rsidR="00C545ED">
        <w:rPr>
          <w:sz w:val="18"/>
          <w:szCs w:val="20"/>
        </w:rPr>
        <w:t xml:space="preserve">hakkı çerçevesinde </w:t>
      </w:r>
      <w:r w:rsidRPr="00453CBD">
        <w:rPr>
          <w:sz w:val="18"/>
          <w:szCs w:val="20"/>
        </w:rPr>
        <w:t>korunabilir olması gerekir.</w:t>
      </w:r>
    </w:p>
    <w:p w:rsidR="00700737" w:rsidRPr="00453CBD" w:rsidRDefault="00700737">
      <w:pPr>
        <w:pStyle w:val="GvdeMetni"/>
        <w:spacing w:before="7"/>
        <w:rPr>
          <w:sz w:val="18"/>
          <w:szCs w:val="18"/>
        </w:rPr>
      </w:pPr>
    </w:p>
    <w:p w:rsidR="00700737" w:rsidRPr="00453CBD" w:rsidRDefault="00453CBD">
      <w:pPr>
        <w:pStyle w:val="ListeParagraf"/>
        <w:numPr>
          <w:ilvl w:val="0"/>
          <w:numId w:val="2"/>
        </w:numPr>
        <w:tabs>
          <w:tab w:val="left" w:pos="795"/>
          <w:tab w:val="left" w:pos="796"/>
        </w:tabs>
        <w:spacing w:before="1" w:line="249" w:lineRule="auto"/>
        <w:ind w:right="137"/>
        <w:rPr>
          <w:sz w:val="18"/>
          <w:szCs w:val="20"/>
        </w:rPr>
      </w:pPr>
      <w:r w:rsidRPr="00453CBD">
        <w:rPr>
          <w:sz w:val="18"/>
          <w:szCs w:val="20"/>
        </w:rPr>
        <w:t>Bir GUI’nın genel olarak, herhangi bir fiziksel cihaza bağlantı</w:t>
      </w:r>
      <w:r w:rsidR="00C545ED">
        <w:rPr>
          <w:sz w:val="18"/>
          <w:szCs w:val="20"/>
        </w:rPr>
        <w:t>lı olması</w:t>
      </w:r>
      <w:r w:rsidRPr="00453CBD">
        <w:rPr>
          <w:sz w:val="18"/>
          <w:szCs w:val="20"/>
        </w:rPr>
        <w:t xml:space="preserve"> gerekmeksizin, tasarım hak</w:t>
      </w:r>
      <w:r w:rsidR="00C545ED">
        <w:rPr>
          <w:sz w:val="18"/>
          <w:szCs w:val="20"/>
        </w:rPr>
        <w:t xml:space="preserve">kı çerçevesinde </w:t>
      </w:r>
      <w:r w:rsidRPr="00453CBD">
        <w:rPr>
          <w:sz w:val="18"/>
          <w:szCs w:val="20"/>
        </w:rPr>
        <w:t>korunabilir olması gerekir.</w:t>
      </w:r>
    </w:p>
    <w:p w:rsidR="00700737" w:rsidRPr="00453CBD" w:rsidRDefault="00700737">
      <w:pPr>
        <w:pStyle w:val="GvdeMetni"/>
        <w:spacing w:before="1"/>
        <w:rPr>
          <w:sz w:val="18"/>
          <w:szCs w:val="18"/>
        </w:rPr>
      </w:pPr>
    </w:p>
    <w:p w:rsidR="00700737" w:rsidRPr="00453CBD" w:rsidRDefault="00C545ED">
      <w:pPr>
        <w:ind w:left="130"/>
        <w:rPr>
          <w:i/>
          <w:sz w:val="18"/>
          <w:szCs w:val="20"/>
        </w:rPr>
      </w:pPr>
      <w:r>
        <w:rPr>
          <w:i/>
          <w:sz w:val="18"/>
          <w:szCs w:val="20"/>
          <w:u w:val="single"/>
        </w:rPr>
        <w:t>Eser</w:t>
      </w:r>
      <w:r w:rsidR="00453CBD" w:rsidRPr="00453CBD">
        <w:rPr>
          <w:i/>
          <w:sz w:val="18"/>
          <w:szCs w:val="20"/>
          <w:u w:val="single"/>
        </w:rPr>
        <w:t xml:space="preserve"> Hakkı</w:t>
      </w:r>
    </w:p>
    <w:p w:rsidR="00700737" w:rsidRPr="00453CBD" w:rsidRDefault="00700737">
      <w:pPr>
        <w:pStyle w:val="GvdeMetni"/>
        <w:spacing w:before="11"/>
        <w:rPr>
          <w:i/>
          <w:sz w:val="10"/>
          <w:szCs w:val="18"/>
        </w:rPr>
      </w:pPr>
    </w:p>
    <w:p w:rsidR="00700737" w:rsidRPr="00453CBD" w:rsidRDefault="00453CBD">
      <w:pPr>
        <w:pStyle w:val="ListeParagraf"/>
        <w:numPr>
          <w:ilvl w:val="0"/>
          <w:numId w:val="2"/>
        </w:numPr>
        <w:tabs>
          <w:tab w:val="left" w:pos="795"/>
          <w:tab w:val="left" w:pos="796"/>
        </w:tabs>
        <w:spacing w:before="100"/>
        <w:rPr>
          <w:sz w:val="18"/>
          <w:szCs w:val="20"/>
        </w:rPr>
      </w:pPr>
      <w:r w:rsidRPr="00453CBD">
        <w:rPr>
          <w:sz w:val="18"/>
          <w:szCs w:val="20"/>
        </w:rPr>
        <w:t xml:space="preserve">GUI’ların genel olarak </w:t>
      </w:r>
      <w:r w:rsidR="00C545ED">
        <w:rPr>
          <w:sz w:val="18"/>
          <w:szCs w:val="20"/>
        </w:rPr>
        <w:t xml:space="preserve">eser </w:t>
      </w:r>
      <w:r w:rsidRPr="00453CBD">
        <w:rPr>
          <w:sz w:val="18"/>
          <w:szCs w:val="20"/>
        </w:rPr>
        <w:t xml:space="preserve">hakkı </w:t>
      </w:r>
      <w:r w:rsidR="00C545ED">
        <w:rPr>
          <w:sz w:val="18"/>
          <w:szCs w:val="20"/>
        </w:rPr>
        <w:t>çerçevesinde</w:t>
      </w:r>
      <w:r w:rsidRPr="00453CBD">
        <w:rPr>
          <w:sz w:val="18"/>
          <w:szCs w:val="20"/>
        </w:rPr>
        <w:t xml:space="preserve"> korunabilir olması gerekir.</w:t>
      </w:r>
    </w:p>
    <w:p w:rsidR="00700737" w:rsidRPr="00453CBD" w:rsidRDefault="00700737">
      <w:pPr>
        <w:pStyle w:val="GvdeMetni"/>
        <w:spacing w:before="3"/>
        <w:rPr>
          <w:sz w:val="18"/>
          <w:szCs w:val="18"/>
        </w:rPr>
      </w:pPr>
    </w:p>
    <w:p w:rsidR="00700737" w:rsidRPr="00453CBD" w:rsidRDefault="00453CBD">
      <w:pPr>
        <w:pStyle w:val="ListeParagraf"/>
        <w:numPr>
          <w:ilvl w:val="0"/>
          <w:numId w:val="2"/>
        </w:numPr>
        <w:tabs>
          <w:tab w:val="left" w:pos="795"/>
          <w:tab w:val="left" w:pos="796"/>
        </w:tabs>
        <w:spacing w:line="247" w:lineRule="auto"/>
        <w:ind w:right="138"/>
        <w:rPr>
          <w:sz w:val="18"/>
          <w:szCs w:val="20"/>
        </w:rPr>
      </w:pPr>
      <w:r w:rsidRPr="00453CBD">
        <w:rPr>
          <w:sz w:val="18"/>
          <w:szCs w:val="20"/>
        </w:rPr>
        <w:t xml:space="preserve">GUI’ların bilgisayar tarafından oluşturuluyor olması, </w:t>
      </w:r>
      <w:r w:rsidR="00C545ED">
        <w:rPr>
          <w:sz w:val="18"/>
          <w:szCs w:val="20"/>
        </w:rPr>
        <w:t>eser</w:t>
      </w:r>
      <w:r w:rsidRPr="00453CBD">
        <w:rPr>
          <w:sz w:val="18"/>
          <w:szCs w:val="20"/>
        </w:rPr>
        <w:t xml:space="preserve"> hak</w:t>
      </w:r>
      <w:r w:rsidR="00C545ED">
        <w:rPr>
          <w:sz w:val="18"/>
          <w:szCs w:val="20"/>
        </w:rPr>
        <w:t>kı</w:t>
      </w:r>
      <w:r w:rsidRPr="00453CBD">
        <w:rPr>
          <w:sz w:val="18"/>
          <w:szCs w:val="20"/>
        </w:rPr>
        <w:t xml:space="preserve"> koruması için uygun olmamaları anlamına gelmemelidir.</w:t>
      </w:r>
    </w:p>
    <w:p w:rsidR="00700737" w:rsidRPr="00453CBD" w:rsidRDefault="00700737">
      <w:pPr>
        <w:pStyle w:val="GvdeMetni"/>
        <w:spacing w:before="8"/>
        <w:rPr>
          <w:sz w:val="18"/>
          <w:szCs w:val="18"/>
        </w:rPr>
      </w:pPr>
    </w:p>
    <w:p w:rsidR="00700737" w:rsidRPr="00453CBD" w:rsidRDefault="00453CBD">
      <w:pPr>
        <w:pStyle w:val="ListeParagraf"/>
        <w:numPr>
          <w:ilvl w:val="0"/>
          <w:numId w:val="2"/>
        </w:numPr>
        <w:tabs>
          <w:tab w:val="left" w:pos="795"/>
          <w:tab w:val="left" w:pos="796"/>
        </w:tabs>
        <w:rPr>
          <w:sz w:val="18"/>
          <w:szCs w:val="20"/>
        </w:rPr>
      </w:pPr>
      <w:r w:rsidRPr="00453CBD">
        <w:rPr>
          <w:sz w:val="18"/>
          <w:szCs w:val="20"/>
        </w:rPr>
        <w:t xml:space="preserve">GUI’ların </w:t>
      </w:r>
      <w:r w:rsidR="00C545ED">
        <w:rPr>
          <w:sz w:val="18"/>
          <w:szCs w:val="20"/>
        </w:rPr>
        <w:t>eser</w:t>
      </w:r>
      <w:r w:rsidRPr="00453CBD">
        <w:rPr>
          <w:sz w:val="18"/>
          <w:szCs w:val="20"/>
        </w:rPr>
        <w:t xml:space="preserve"> hakkı koruması için gereken eşik, diğer eserlerinkinden daha yüksek olmamalıdır.</w:t>
      </w:r>
    </w:p>
    <w:p w:rsidR="00700737" w:rsidRPr="00453CBD" w:rsidRDefault="00700737">
      <w:pPr>
        <w:pStyle w:val="GvdeMetni"/>
        <w:spacing w:before="1"/>
        <w:rPr>
          <w:sz w:val="18"/>
          <w:szCs w:val="18"/>
        </w:rPr>
      </w:pPr>
    </w:p>
    <w:p w:rsidR="00700737" w:rsidRPr="00453CBD" w:rsidRDefault="00453CBD">
      <w:pPr>
        <w:ind w:left="130"/>
        <w:rPr>
          <w:i/>
          <w:sz w:val="18"/>
          <w:szCs w:val="20"/>
        </w:rPr>
      </w:pPr>
      <w:r w:rsidRPr="00453CBD">
        <w:rPr>
          <w:i/>
          <w:sz w:val="18"/>
          <w:szCs w:val="20"/>
          <w:u w:val="single"/>
        </w:rPr>
        <w:t>Markalar</w:t>
      </w:r>
    </w:p>
    <w:p w:rsidR="00700737" w:rsidRPr="00453CBD" w:rsidRDefault="00700737">
      <w:pPr>
        <w:rPr>
          <w:sz w:val="18"/>
          <w:szCs w:val="20"/>
        </w:rPr>
        <w:sectPr w:rsidR="00700737" w:rsidRPr="00453CBD">
          <w:pgSz w:w="12240" w:h="15840"/>
          <w:pgMar w:top="1260" w:right="1720" w:bottom="1580" w:left="1720" w:header="0" w:footer="1392" w:gutter="0"/>
          <w:cols w:space="708"/>
        </w:sectPr>
      </w:pPr>
    </w:p>
    <w:p w:rsidR="00700737" w:rsidRPr="00453CBD" w:rsidRDefault="00453CBD">
      <w:pPr>
        <w:pStyle w:val="ListeParagraf"/>
        <w:numPr>
          <w:ilvl w:val="0"/>
          <w:numId w:val="2"/>
        </w:numPr>
        <w:tabs>
          <w:tab w:val="left" w:pos="795"/>
          <w:tab w:val="left" w:pos="796"/>
        </w:tabs>
        <w:spacing w:before="74"/>
        <w:rPr>
          <w:sz w:val="18"/>
          <w:szCs w:val="20"/>
        </w:rPr>
      </w:pPr>
      <w:r w:rsidRPr="00453CBD">
        <w:rPr>
          <w:sz w:val="18"/>
          <w:szCs w:val="20"/>
        </w:rPr>
        <w:lastRenderedPageBreak/>
        <w:t>GUI’ların genel olarak ticari marka hak</w:t>
      </w:r>
      <w:r w:rsidR="00C545ED">
        <w:rPr>
          <w:sz w:val="18"/>
          <w:szCs w:val="20"/>
        </w:rPr>
        <w:t xml:space="preserve">kı çerçevesinde </w:t>
      </w:r>
      <w:r w:rsidRPr="00453CBD">
        <w:rPr>
          <w:sz w:val="18"/>
          <w:szCs w:val="20"/>
        </w:rPr>
        <w:t>korunabilir olması gerekir.</w:t>
      </w:r>
    </w:p>
    <w:p w:rsidR="00700737" w:rsidRPr="00453CBD" w:rsidRDefault="00700737">
      <w:pPr>
        <w:pStyle w:val="GvdeMetni"/>
        <w:spacing w:before="6"/>
        <w:rPr>
          <w:sz w:val="18"/>
          <w:szCs w:val="18"/>
        </w:rPr>
      </w:pPr>
    </w:p>
    <w:p w:rsidR="00700737" w:rsidRPr="00453CBD" w:rsidRDefault="00453CBD">
      <w:pPr>
        <w:pStyle w:val="ListeParagraf"/>
        <w:numPr>
          <w:ilvl w:val="0"/>
          <w:numId w:val="2"/>
        </w:numPr>
        <w:tabs>
          <w:tab w:val="left" w:pos="795"/>
          <w:tab w:val="left" w:pos="796"/>
        </w:tabs>
        <w:spacing w:line="244" w:lineRule="auto"/>
        <w:ind w:right="137"/>
        <w:rPr>
          <w:sz w:val="18"/>
          <w:szCs w:val="20"/>
        </w:rPr>
      </w:pPr>
      <w:r w:rsidRPr="00453CBD">
        <w:rPr>
          <w:sz w:val="18"/>
          <w:szCs w:val="20"/>
        </w:rPr>
        <w:t xml:space="preserve">Bir GUI’da bulunan hareket ve geçişlerin genel olarak, </w:t>
      </w:r>
      <w:r w:rsidR="00C545ED">
        <w:rPr>
          <w:sz w:val="18"/>
          <w:szCs w:val="20"/>
        </w:rPr>
        <w:t>marka hakkı çerçevesinde</w:t>
      </w:r>
      <w:r w:rsidRPr="00453CBD">
        <w:rPr>
          <w:sz w:val="18"/>
          <w:szCs w:val="20"/>
        </w:rPr>
        <w:t xml:space="preserve"> korunabilir olması gerekir.</w:t>
      </w:r>
    </w:p>
    <w:p w:rsidR="00700737" w:rsidRPr="00453CBD" w:rsidRDefault="00700737">
      <w:pPr>
        <w:pStyle w:val="GvdeMetni"/>
        <w:spacing w:before="1"/>
        <w:rPr>
          <w:sz w:val="18"/>
          <w:szCs w:val="18"/>
        </w:rPr>
      </w:pPr>
    </w:p>
    <w:p w:rsidR="00700737" w:rsidRPr="00453CBD" w:rsidRDefault="00453CBD">
      <w:pPr>
        <w:pStyle w:val="ListeParagraf"/>
        <w:numPr>
          <w:ilvl w:val="0"/>
          <w:numId w:val="2"/>
        </w:numPr>
        <w:tabs>
          <w:tab w:val="left" w:pos="796"/>
        </w:tabs>
        <w:spacing w:line="247" w:lineRule="auto"/>
        <w:ind w:right="137"/>
        <w:jc w:val="both"/>
        <w:rPr>
          <w:sz w:val="18"/>
          <w:szCs w:val="20"/>
        </w:rPr>
      </w:pPr>
      <w:r w:rsidRPr="00453CBD">
        <w:rPr>
          <w:sz w:val="18"/>
          <w:szCs w:val="20"/>
        </w:rPr>
        <w:t xml:space="preserve">Bir GUI’nın marka korumasına uygun olması için kullanım </w:t>
      </w:r>
      <w:r w:rsidR="00C545ED">
        <w:rPr>
          <w:sz w:val="18"/>
          <w:szCs w:val="20"/>
        </w:rPr>
        <w:t xml:space="preserve">sonucunda </w:t>
      </w:r>
      <w:r w:rsidRPr="00453CBD">
        <w:rPr>
          <w:sz w:val="18"/>
          <w:szCs w:val="20"/>
        </w:rPr>
        <w:t>ayırt edilebilirlik kazanması gerekmemelidir. Bir GUI’nın doğası itibarıyla ayırt edilebilir olmadığı hallerde, kazanılmış ayırt edilebilirlik gerekli olmalıdır.</w:t>
      </w:r>
    </w:p>
    <w:p w:rsidR="00700737" w:rsidRPr="00453CBD" w:rsidRDefault="00700737">
      <w:pPr>
        <w:pStyle w:val="GvdeMetni"/>
        <w:spacing w:before="3"/>
        <w:rPr>
          <w:sz w:val="18"/>
          <w:szCs w:val="18"/>
        </w:rPr>
      </w:pPr>
    </w:p>
    <w:p w:rsidR="00700737" w:rsidRPr="00453CBD" w:rsidRDefault="00453CBD">
      <w:pPr>
        <w:ind w:left="130"/>
        <w:rPr>
          <w:i/>
          <w:sz w:val="18"/>
          <w:szCs w:val="20"/>
        </w:rPr>
      </w:pPr>
      <w:r w:rsidRPr="00453CBD">
        <w:rPr>
          <w:i/>
          <w:sz w:val="18"/>
          <w:szCs w:val="20"/>
          <w:u w:val="single"/>
        </w:rPr>
        <w:t>Diğer koruma biçimleri</w:t>
      </w:r>
    </w:p>
    <w:p w:rsidR="00700737" w:rsidRPr="00453CBD" w:rsidRDefault="00700737">
      <w:pPr>
        <w:pStyle w:val="GvdeMetni"/>
        <w:rPr>
          <w:i/>
          <w:sz w:val="11"/>
          <w:szCs w:val="18"/>
        </w:rPr>
      </w:pPr>
    </w:p>
    <w:p w:rsidR="00700737" w:rsidRPr="00453CBD" w:rsidRDefault="00453CBD">
      <w:pPr>
        <w:pStyle w:val="ListeParagraf"/>
        <w:numPr>
          <w:ilvl w:val="0"/>
          <w:numId w:val="2"/>
        </w:numPr>
        <w:tabs>
          <w:tab w:val="left" w:pos="796"/>
        </w:tabs>
        <w:spacing w:before="100" w:line="247" w:lineRule="auto"/>
        <w:ind w:right="137"/>
        <w:jc w:val="both"/>
        <w:rPr>
          <w:sz w:val="18"/>
          <w:szCs w:val="20"/>
        </w:rPr>
      </w:pPr>
      <w:r w:rsidRPr="00453CBD">
        <w:rPr>
          <w:sz w:val="18"/>
          <w:szCs w:val="20"/>
        </w:rPr>
        <w:t xml:space="preserve">Yukarıdaki 1), 5), 8), ve 11) paragraflarında belirtildiği üzere GUI’ların korunması için mevcut olması gereken </w:t>
      </w:r>
      <w:r w:rsidR="00C545ED">
        <w:rPr>
          <w:sz w:val="18"/>
          <w:szCs w:val="20"/>
        </w:rPr>
        <w:t>fikri haklar</w:t>
      </w:r>
      <w:bookmarkStart w:id="0" w:name="_GoBack"/>
      <w:bookmarkEnd w:id="0"/>
      <w:r w:rsidRPr="00453CBD">
        <w:rPr>
          <w:sz w:val="18"/>
          <w:szCs w:val="20"/>
        </w:rPr>
        <w:t xml:space="preserve"> dikkate alınarak, GUI’lar için kendine özgü </w:t>
      </w:r>
      <w:r w:rsidRPr="00453CBD">
        <w:rPr>
          <w:i/>
          <w:sz w:val="18"/>
          <w:szCs w:val="20"/>
        </w:rPr>
        <w:t xml:space="preserve">(sui generis) </w:t>
      </w:r>
      <w:r w:rsidRPr="00453CBD">
        <w:rPr>
          <w:sz w:val="18"/>
          <w:szCs w:val="20"/>
        </w:rPr>
        <w:t>koruma gerekli olmamalıdır.</w:t>
      </w:r>
    </w:p>
    <w:p w:rsidR="00700737" w:rsidRPr="00453CBD" w:rsidRDefault="00700737">
      <w:pPr>
        <w:pStyle w:val="GvdeMetni"/>
        <w:spacing w:before="5"/>
        <w:rPr>
          <w:sz w:val="18"/>
          <w:szCs w:val="18"/>
        </w:rPr>
      </w:pPr>
    </w:p>
    <w:p w:rsidR="00700737" w:rsidRPr="00453CBD" w:rsidRDefault="00453CBD">
      <w:pPr>
        <w:spacing w:before="1"/>
        <w:ind w:left="130"/>
        <w:rPr>
          <w:i/>
          <w:sz w:val="18"/>
          <w:szCs w:val="20"/>
        </w:rPr>
      </w:pPr>
      <w:r w:rsidRPr="00453CBD">
        <w:rPr>
          <w:i/>
          <w:sz w:val="18"/>
          <w:szCs w:val="20"/>
          <w:u w:val="single"/>
        </w:rPr>
        <w:t>Makamların prosedürleri</w:t>
      </w:r>
    </w:p>
    <w:p w:rsidR="00700737" w:rsidRPr="00453CBD" w:rsidRDefault="00700737">
      <w:pPr>
        <w:pStyle w:val="GvdeMetni"/>
        <w:rPr>
          <w:i/>
          <w:sz w:val="11"/>
          <w:szCs w:val="18"/>
        </w:rPr>
      </w:pPr>
    </w:p>
    <w:p w:rsidR="00700737" w:rsidRPr="00453CBD" w:rsidRDefault="00453CBD">
      <w:pPr>
        <w:pStyle w:val="ListeParagraf"/>
        <w:numPr>
          <w:ilvl w:val="0"/>
          <w:numId w:val="2"/>
        </w:numPr>
        <w:tabs>
          <w:tab w:val="left" w:pos="796"/>
        </w:tabs>
        <w:spacing w:before="100" w:line="247" w:lineRule="auto"/>
        <w:ind w:right="135"/>
        <w:jc w:val="both"/>
        <w:rPr>
          <w:sz w:val="18"/>
          <w:szCs w:val="20"/>
        </w:rPr>
      </w:pPr>
      <w:r w:rsidRPr="00453CBD">
        <w:rPr>
          <w:sz w:val="18"/>
          <w:szCs w:val="20"/>
        </w:rPr>
        <w:t>Patent, tasarım, telif ve ticari marka haklarına ilişkin makamlar, bir GUI’daki hareket ve geçişleri dinamik olarak temsil edebilecek elektronik verileri kabul edip yayınlamaya yönelik tedbirler almalıdırlar.</w:t>
      </w:r>
    </w:p>
    <w:p w:rsidR="00700737" w:rsidRPr="00453CBD" w:rsidRDefault="00700737">
      <w:pPr>
        <w:pStyle w:val="GvdeMetni"/>
        <w:rPr>
          <w:szCs w:val="18"/>
        </w:rPr>
      </w:pPr>
    </w:p>
    <w:p w:rsidR="00700737" w:rsidRPr="00453CBD" w:rsidRDefault="00700737">
      <w:pPr>
        <w:pStyle w:val="GvdeMetni"/>
        <w:spacing w:before="3"/>
        <w:rPr>
          <w:sz w:val="16"/>
          <w:szCs w:val="18"/>
        </w:rPr>
      </w:pPr>
    </w:p>
    <w:p w:rsidR="00700737" w:rsidRPr="00453CBD" w:rsidRDefault="00453CBD">
      <w:pPr>
        <w:pStyle w:val="Balk1"/>
        <w:spacing w:before="1"/>
        <w:rPr>
          <w:sz w:val="18"/>
          <w:szCs w:val="18"/>
        </w:rPr>
      </w:pPr>
      <w:r w:rsidRPr="00453CBD">
        <w:rPr>
          <w:sz w:val="18"/>
          <w:szCs w:val="18"/>
        </w:rPr>
        <w:t>Linkler:</w:t>
      </w:r>
    </w:p>
    <w:p w:rsidR="00700737" w:rsidRPr="00453CBD" w:rsidRDefault="00700737">
      <w:pPr>
        <w:pStyle w:val="GvdeMetni"/>
        <w:spacing w:before="4"/>
        <w:rPr>
          <w:b/>
          <w:sz w:val="18"/>
          <w:szCs w:val="18"/>
        </w:rPr>
      </w:pPr>
    </w:p>
    <w:p w:rsidR="00700737" w:rsidRPr="00453CBD" w:rsidRDefault="00453CBD">
      <w:pPr>
        <w:pStyle w:val="ListeParagraf"/>
        <w:numPr>
          <w:ilvl w:val="0"/>
          <w:numId w:val="1"/>
        </w:numPr>
        <w:tabs>
          <w:tab w:val="left" w:pos="807"/>
          <w:tab w:val="left" w:pos="808"/>
        </w:tabs>
        <w:rPr>
          <w:sz w:val="18"/>
          <w:szCs w:val="20"/>
        </w:rPr>
      </w:pPr>
      <w:r w:rsidRPr="00453CBD">
        <w:rPr>
          <w:sz w:val="18"/>
          <w:szCs w:val="20"/>
        </w:rPr>
        <w:t>Çalışma Kılavuz İlkeleri</w:t>
      </w:r>
    </w:p>
    <w:p w:rsidR="00700737" w:rsidRPr="00453CBD" w:rsidRDefault="00B2028A">
      <w:pPr>
        <w:pStyle w:val="GvdeMetni"/>
        <w:spacing w:before="5"/>
        <w:ind w:left="807"/>
        <w:rPr>
          <w:sz w:val="18"/>
          <w:szCs w:val="18"/>
        </w:rPr>
      </w:pPr>
      <w:hyperlink r:id="rId9">
        <w:r w:rsidR="00453CBD" w:rsidRPr="00453CBD">
          <w:rPr>
            <w:color w:val="0000FF"/>
            <w:sz w:val="18"/>
            <w:szCs w:val="18"/>
            <w:u w:val="single" w:color="0000FF"/>
          </w:rPr>
          <w:t>http://aippi.org/wp-content/uploads/2017/01/FINAL-website-version-GUIs.pdf</w:t>
        </w:r>
      </w:hyperlink>
    </w:p>
    <w:p w:rsidR="00700737" w:rsidRPr="00453CBD" w:rsidRDefault="00700737">
      <w:pPr>
        <w:pStyle w:val="GvdeMetni"/>
        <w:spacing w:before="6"/>
        <w:rPr>
          <w:sz w:val="18"/>
          <w:szCs w:val="18"/>
        </w:rPr>
      </w:pPr>
    </w:p>
    <w:p w:rsidR="00700737" w:rsidRPr="00453CBD" w:rsidRDefault="00453CBD">
      <w:pPr>
        <w:pStyle w:val="ListeParagraf"/>
        <w:numPr>
          <w:ilvl w:val="0"/>
          <w:numId w:val="1"/>
        </w:numPr>
        <w:tabs>
          <w:tab w:val="left" w:pos="807"/>
          <w:tab w:val="left" w:pos="808"/>
        </w:tabs>
        <w:spacing w:line="242" w:lineRule="auto"/>
        <w:ind w:right="6292"/>
        <w:rPr>
          <w:sz w:val="18"/>
          <w:szCs w:val="20"/>
        </w:rPr>
      </w:pPr>
      <w:r w:rsidRPr="00453CBD">
        <w:rPr>
          <w:sz w:val="18"/>
          <w:szCs w:val="20"/>
        </w:rPr>
        <w:t xml:space="preserve">Özet Rapor </w:t>
      </w:r>
      <w:hyperlink r:id="rId10">
        <w:r w:rsidRPr="00453CBD">
          <w:rPr>
            <w:color w:val="0000FF"/>
            <w:sz w:val="18"/>
            <w:szCs w:val="20"/>
            <w:u w:val="single" w:color="0000FF"/>
          </w:rPr>
          <w:t>http://aippi.org/wp-</w:t>
        </w:r>
      </w:hyperlink>
    </w:p>
    <w:p w:rsidR="00700737" w:rsidRPr="00453CBD" w:rsidRDefault="00453CBD">
      <w:pPr>
        <w:pStyle w:val="GvdeMetni"/>
        <w:spacing w:before="4"/>
        <w:ind w:left="807"/>
        <w:rPr>
          <w:sz w:val="18"/>
          <w:szCs w:val="18"/>
        </w:rPr>
      </w:pPr>
      <w:r w:rsidRPr="00453CBD">
        <w:rPr>
          <w:color w:val="0000FF"/>
          <w:sz w:val="18"/>
          <w:szCs w:val="18"/>
          <w:u w:val="single" w:color="0000FF"/>
        </w:rPr>
        <w:t>content/uploads/2017/08/SummarReport_General_GUIs_15August2017_final.pdf</w:t>
      </w:r>
    </w:p>
    <w:p w:rsidR="00700737" w:rsidRPr="00453CBD" w:rsidRDefault="00700737">
      <w:pPr>
        <w:pStyle w:val="GvdeMetni"/>
        <w:spacing w:before="4"/>
        <w:rPr>
          <w:sz w:val="18"/>
          <w:szCs w:val="18"/>
        </w:rPr>
      </w:pPr>
    </w:p>
    <w:p w:rsidR="00700737" w:rsidRPr="00453CBD" w:rsidRDefault="00453CBD">
      <w:pPr>
        <w:pStyle w:val="ListeParagraf"/>
        <w:numPr>
          <w:ilvl w:val="0"/>
          <w:numId w:val="1"/>
        </w:numPr>
        <w:tabs>
          <w:tab w:val="left" w:pos="807"/>
          <w:tab w:val="left" w:pos="808"/>
        </w:tabs>
        <w:spacing w:line="244" w:lineRule="auto"/>
        <w:ind w:right="1678"/>
        <w:rPr>
          <w:sz w:val="18"/>
          <w:szCs w:val="20"/>
        </w:rPr>
      </w:pPr>
      <w:r w:rsidRPr="00453CBD">
        <w:rPr>
          <w:sz w:val="18"/>
          <w:szCs w:val="20"/>
        </w:rPr>
        <w:t>Ulusal ve Bölgesel Grupların ve Bağımsız Üyelerin Raporları</w:t>
      </w:r>
      <w:hyperlink r:id="rId11">
        <w:r w:rsidRPr="00453CBD">
          <w:rPr>
            <w:color w:val="0000FF"/>
            <w:sz w:val="18"/>
            <w:szCs w:val="20"/>
            <w:u w:val="single" w:color="0000FF"/>
          </w:rPr>
          <w:t xml:space="preserve"> http://aippi.org/committee/protection-of-graphical-user-interfaces/</w:t>
        </w:r>
      </w:hyperlink>
    </w:p>
    <w:sectPr w:rsidR="00700737" w:rsidRPr="00453CBD">
      <w:pgSz w:w="12240" w:h="15840"/>
      <w:pgMar w:top="1500" w:right="1720" w:bottom="1600" w:left="1720" w:header="0" w:footer="1392"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2028A" w:rsidRDefault="00B2028A">
      <w:r>
        <w:separator/>
      </w:r>
    </w:p>
  </w:endnote>
  <w:endnote w:type="continuationSeparator" w:id="0">
    <w:p w:rsidR="00B2028A" w:rsidRDefault="00B2028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Arial">
    <w:panose1 w:val="020B0604020202020204"/>
    <w:charset w:val="A2"/>
    <w:family w:val="swiss"/>
    <w:pitch w:val="variable"/>
    <w:sig w:usb0="E0002EFF" w:usb1="C0007843" w:usb2="00000009" w:usb3="00000000" w:csb0="000001FF" w:csb1="00000000"/>
  </w:font>
  <w:font w:name="Calibri">
    <w:panose1 w:val="020F0502020204030204"/>
    <w:charset w:val="A2"/>
    <w:family w:val="swiss"/>
    <w:pitch w:val="variable"/>
    <w:sig w:usb0="E0002AFF" w:usb1="C000247B" w:usb2="00000009" w:usb3="00000000" w:csb0="000001FF" w:csb1="00000000"/>
  </w:font>
  <w:font w:name="Tahoma">
    <w:panose1 w:val="020B0604030504040204"/>
    <w:charset w:val="A2"/>
    <w:family w:val="swiss"/>
    <w:pitch w:val="variable"/>
    <w:sig w:usb0="E1002EFF" w:usb1="C000605B" w:usb2="00000029" w:usb3="00000000" w:csb0="000101FF" w:csb1="00000000"/>
  </w:font>
  <w:font w:name="Cambria">
    <w:panose1 w:val="02040503050406030204"/>
    <w:charset w:val="A2"/>
    <w:family w:val="roman"/>
    <w:pitch w:val="variable"/>
    <w:sig w:usb0="E00006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00737" w:rsidRDefault="008468BA">
    <w:pPr>
      <w:pStyle w:val="GvdeMetni"/>
      <w:spacing w:line="14" w:lineRule="auto"/>
    </w:pPr>
    <w:r>
      <w:rPr>
        <w:noProof/>
        <w:lang w:eastAsia="tr-TR"/>
      </w:rPr>
      <mc:AlternateContent>
        <mc:Choice Requires="wps">
          <w:drawing>
            <wp:anchor distT="0" distB="0" distL="114300" distR="114300" simplePos="0" relativeHeight="251657728" behindDoc="1" locked="0" layoutInCell="1" allowOverlap="1" wp14:anchorId="2DB27003">
              <wp:simplePos x="0" y="0"/>
              <wp:positionH relativeFrom="page">
                <wp:posOffset>3819525</wp:posOffset>
              </wp:positionH>
              <wp:positionV relativeFrom="page">
                <wp:posOffset>9022715</wp:posOffset>
              </wp:positionV>
              <wp:extent cx="124460" cy="172720"/>
              <wp:effectExtent l="0" t="0" r="0" b="0"/>
              <wp:wrapNone/>
              <wp:docPr id="4" name="113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124460" cy="1727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00737" w:rsidRDefault="00453CBD">
                          <w:pPr>
                            <w:pStyle w:val="GvdeMetni"/>
                            <w:spacing w:before="20"/>
                            <w:ind w:left="40"/>
                          </w:pPr>
                          <w:r>
                            <w:fldChar w:fldCharType="begin"/>
                          </w:r>
                          <w:r>
                            <w:instrText xml:space="preserve"> PAGE </w:instrText>
                          </w:r>
                          <w:r>
                            <w:fldChar w:fldCharType="separate"/>
                          </w:r>
                          <w:r w:rsidR="004E63BA">
                            <w:rPr>
                              <w:noProof/>
                            </w:rPr>
                            <w:t>1</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DB27003" id="_x0000_t202" coordsize="21600,21600" o:spt="202" path="m,l,21600r21600,l21600,xe">
              <v:stroke joinstyle="miter"/>
              <v:path gradientshapeok="t" o:connecttype="rect"/>
            </v:shapetype>
            <v:shape id="1130" o:spid="_x0000_s1026" type="#_x0000_t202" style="position:absolute;margin-left:300.75pt;margin-top:710.45pt;width:9.8pt;height:13.6pt;z-index:-2516587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" filled="f" stroked="f">
              <v:path arrowok="t"/>
              <v:textbox inset="0,0,0,0">
                <w:txbxContent>
                  <w:p w:rsidR="00700737" w:rsidRDefault="00453CBD">
                    <w:pPr>
                      <w:pStyle w:val="GvdeMetni"/>
                      <w:spacing w:before="20"/>
                      <w:ind w:left="40"/>
                    </w:pPr>
                    <w:r>
                      <w:fldChar w:fldCharType="begin"/>
                    </w:r>
                    <w:r>
                      <w:instrText xml:space="preserve"> PAGE </w:instrText>
                    </w:r>
                    <w:r>
                      <w:fldChar w:fldCharType="separate"/>
                    </w:r>
                    <w:r w:rsidR="004E63BA">
                      <w:rPr>
                        <w:noProof/>
                      </w:rPr>
                      <w:t>1</w:t>
                    </w:r>
                    <w: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2028A" w:rsidRDefault="00B2028A">
      <w:r>
        <w:separator/>
      </w:r>
    </w:p>
  </w:footnote>
  <w:footnote w:type="continuationSeparator" w:id="0">
    <w:p w:rsidR="00B2028A" w:rsidRDefault="00B2028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94E4F3B"/>
    <w:multiLevelType w:val="hybridMultilevel"/>
    <w:tmpl w:val="B308D4B8"/>
    <w:lvl w:ilvl="0" w:tplc="2A208D74">
      <w:numFmt w:val="bullet"/>
      <w:lvlText w:val=""/>
      <w:lvlJc w:val="left"/>
      <w:pPr>
        <w:ind w:left="807" w:hanging="677"/>
      </w:pPr>
      <w:rPr>
        <w:rFonts w:ascii="Symbol" w:eastAsia="Symbol" w:hAnsi="Symbol" w:cs="Symbol" w:hint="default"/>
        <w:w w:val="103"/>
        <w:sz w:val="20"/>
        <w:szCs w:val="20"/>
      </w:rPr>
    </w:lvl>
    <w:lvl w:ilvl="1" w:tplc="14FECD30">
      <w:numFmt w:val="bullet"/>
      <w:lvlText w:val="•"/>
      <w:lvlJc w:val="left"/>
      <w:pPr>
        <w:ind w:left="1600" w:hanging="677"/>
      </w:pPr>
      <w:rPr>
        <w:rFonts w:hint="default"/>
      </w:rPr>
    </w:lvl>
    <w:lvl w:ilvl="2" w:tplc="25D85954">
      <w:numFmt w:val="bullet"/>
      <w:lvlText w:val="•"/>
      <w:lvlJc w:val="left"/>
      <w:pPr>
        <w:ind w:left="2400" w:hanging="677"/>
      </w:pPr>
      <w:rPr>
        <w:rFonts w:hint="default"/>
      </w:rPr>
    </w:lvl>
    <w:lvl w:ilvl="3" w:tplc="5EEC207A">
      <w:numFmt w:val="bullet"/>
      <w:lvlText w:val="•"/>
      <w:lvlJc w:val="left"/>
      <w:pPr>
        <w:ind w:left="3200" w:hanging="677"/>
      </w:pPr>
      <w:rPr>
        <w:rFonts w:hint="default"/>
      </w:rPr>
    </w:lvl>
    <w:lvl w:ilvl="4" w:tplc="482066F6">
      <w:numFmt w:val="bullet"/>
      <w:lvlText w:val="•"/>
      <w:lvlJc w:val="left"/>
      <w:pPr>
        <w:ind w:left="4000" w:hanging="677"/>
      </w:pPr>
      <w:rPr>
        <w:rFonts w:hint="default"/>
      </w:rPr>
    </w:lvl>
    <w:lvl w:ilvl="5" w:tplc="5ACCC4C4">
      <w:numFmt w:val="bullet"/>
      <w:lvlText w:val="•"/>
      <w:lvlJc w:val="left"/>
      <w:pPr>
        <w:ind w:left="4800" w:hanging="677"/>
      </w:pPr>
      <w:rPr>
        <w:rFonts w:hint="default"/>
      </w:rPr>
    </w:lvl>
    <w:lvl w:ilvl="6" w:tplc="25E6738C">
      <w:numFmt w:val="bullet"/>
      <w:lvlText w:val="•"/>
      <w:lvlJc w:val="left"/>
      <w:pPr>
        <w:ind w:left="5600" w:hanging="677"/>
      </w:pPr>
      <w:rPr>
        <w:rFonts w:hint="default"/>
      </w:rPr>
    </w:lvl>
    <w:lvl w:ilvl="7" w:tplc="2496E6A4">
      <w:numFmt w:val="bullet"/>
      <w:lvlText w:val="•"/>
      <w:lvlJc w:val="left"/>
      <w:pPr>
        <w:ind w:left="6400" w:hanging="677"/>
      </w:pPr>
      <w:rPr>
        <w:rFonts w:hint="default"/>
      </w:rPr>
    </w:lvl>
    <w:lvl w:ilvl="8" w:tplc="AB0A2920">
      <w:numFmt w:val="bullet"/>
      <w:lvlText w:val="•"/>
      <w:lvlJc w:val="left"/>
      <w:pPr>
        <w:ind w:left="7200" w:hanging="677"/>
      </w:pPr>
      <w:rPr>
        <w:rFonts w:hint="default"/>
      </w:rPr>
    </w:lvl>
  </w:abstractNum>
  <w:abstractNum w:abstractNumId="1" w15:restartNumberingAfterBreak="0">
    <w:nsid w:val="518523F5"/>
    <w:multiLevelType w:val="hybridMultilevel"/>
    <w:tmpl w:val="3E92C520"/>
    <w:lvl w:ilvl="0" w:tplc="15107946">
      <w:start w:val="1"/>
      <w:numFmt w:val="decimal"/>
      <w:lvlText w:val="%1)"/>
      <w:lvlJc w:val="left"/>
      <w:pPr>
        <w:ind w:left="795" w:hanging="665"/>
      </w:pPr>
      <w:rPr>
        <w:rFonts w:ascii="Arial" w:eastAsia="Arial" w:hAnsi="Arial" w:cs="Arial" w:hint="default"/>
        <w:w w:val="103"/>
        <w:sz w:val="20"/>
        <w:szCs w:val="20"/>
      </w:rPr>
    </w:lvl>
    <w:lvl w:ilvl="1" w:tplc="E9BECF54">
      <w:numFmt w:val="bullet"/>
      <w:lvlText w:val=""/>
      <w:lvlJc w:val="left"/>
      <w:pPr>
        <w:ind w:left="1133" w:hanging="339"/>
      </w:pPr>
      <w:rPr>
        <w:rFonts w:ascii="Symbol" w:eastAsia="Symbol" w:hAnsi="Symbol" w:cs="Symbol" w:hint="default"/>
        <w:w w:val="103"/>
        <w:sz w:val="20"/>
        <w:szCs w:val="20"/>
      </w:rPr>
    </w:lvl>
    <w:lvl w:ilvl="2" w:tplc="52BA3006">
      <w:numFmt w:val="bullet"/>
      <w:lvlText w:val="•"/>
      <w:lvlJc w:val="left"/>
      <w:pPr>
        <w:ind w:left="2064" w:hanging="339"/>
      </w:pPr>
      <w:rPr>
        <w:rFonts w:hint="default"/>
      </w:rPr>
    </w:lvl>
    <w:lvl w:ilvl="3" w:tplc="AC469B6A">
      <w:numFmt w:val="bullet"/>
      <w:lvlText w:val="•"/>
      <w:lvlJc w:val="left"/>
      <w:pPr>
        <w:ind w:left="2988" w:hanging="339"/>
      </w:pPr>
      <w:rPr>
        <w:rFonts w:hint="default"/>
      </w:rPr>
    </w:lvl>
    <w:lvl w:ilvl="4" w:tplc="A000B226">
      <w:numFmt w:val="bullet"/>
      <w:lvlText w:val="•"/>
      <w:lvlJc w:val="left"/>
      <w:pPr>
        <w:ind w:left="3913" w:hanging="339"/>
      </w:pPr>
      <w:rPr>
        <w:rFonts w:hint="default"/>
      </w:rPr>
    </w:lvl>
    <w:lvl w:ilvl="5" w:tplc="096E0072">
      <w:numFmt w:val="bullet"/>
      <w:lvlText w:val="•"/>
      <w:lvlJc w:val="left"/>
      <w:pPr>
        <w:ind w:left="4837" w:hanging="339"/>
      </w:pPr>
      <w:rPr>
        <w:rFonts w:hint="default"/>
      </w:rPr>
    </w:lvl>
    <w:lvl w:ilvl="6" w:tplc="6A28E6D2">
      <w:numFmt w:val="bullet"/>
      <w:lvlText w:val="•"/>
      <w:lvlJc w:val="left"/>
      <w:pPr>
        <w:ind w:left="5762" w:hanging="339"/>
      </w:pPr>
      <w:rPr>
        <w:rFonts w:hint="default"/>
      </w:rPr>
    </w:lvl>
    <w:lvl w:ilvl="7" w:tplc="835C0A3E">
      <w:numFmt w:val="bullet"/>
      <w:lvlText w:val="•"/>
      <w:lvlJc w:val="left"/>
      <w:pPr>
        <w:ind w:left="6686" w:hanging="339"/>
      </w:pPr>
      <w:rPr>
        <w:rFonts w:hint="default"/>
      </w:rPr>
    </w:lvl>
    <w:lvl w:ilvl="8" w:tplc="4E3CE51E">
      <w:numFmt w:val="bullet"/>
      <w:lvlText w:val="•"/>
      <w:lvlJc w:val="left"/>
      <w:pPr>
        <w:ind w:left="7611" w:hanging="339"/>
      </w:pPr>
      <w:rPr>
        <w:rFonts w:hint="default"/>
      </w:rPr>
    </w:lvl>
  </w:abstractNum>
  <w:abstractNum w:abstractNumId="2" w15:restartNumberingAfterBreak="0">
    <w:nsid w:val="7BC743F6"/>
    <w:multiLevelType w:val="hybridMultilevel"/>
    <w:tmpl w:val="D194AB2A"/>
    <w:lvl w:ilvl="0" w:tplc="12D02D96">
      <w:start w:val="1"/>
      <w:numFmt w:val="decimal"/>
      <w:lvlText w:val="%1)"/>
      <w:lvlJc w:val="left"/>
      <w:pPr>
        <w:ind w:left="795" w:hanging="665"/>
      </w:pPr>
      <w:rPr>
        <w:rFonts w:ascii="Arial" w:eastAsia="Arial" w:hAnsi="Arial" w:cs="Arial" w:hint="default"/>
        <w:w w:val="103"/>
        <w:sz w:val="20"/>
        <w:szCs w:val="20"/>
      </w:rPr>
    </w:lvl>
    <w:lvl w:ilvl="1" w:tplc="207EF344">
      <w:numFmt w:val="bullet"/>
      <w:lvlText w:val="•"/>
      <w:lvlJc w:val="left"/>
      <w:pPr>
        <w:ind w:left="1600" w:hanging="665"/>
      </w:pPr>
      <w:rPr>
        <w:rFonts w:hint="default"/>
      </w:rPr>
    </w:lvl>
    <w:lvl w:ilvl="2" w:tplc="04D6099A">
      <w:numFmt w:val="bullet"/>
      <w:lvlText w:val="•"/>
      <w:lvlJc w:val="left"/>
      <w:pPr>
        <w:ind w:left="2400" w:hanging="665"/>
      </w:pPr>
      <w:rPr>
        <w:rFonts w:hint="default"/>
      </w:rPr>
    </w:lvl>
    <w:lvl w:ilvl="3" w:tplc="CA943482">
      <w:numFmt w:val="bullet"/>
      <w:lvlText w:val="•"/>
      <w:lvlJc w:val="left"/>
      <w:pPr>
        <w:ind w:left="3200" w:hanging="665"/>
      </w:pPr>
      <w:rPr>
        <w:rFonts w:hint="default"/>
      </w:rPr>
    </w:lvl>
    <w:lvl w:ilvl="4" w:tplc="CF326FE2">
      <w:numFmt w:val="bullet"/>
      <w:lvlText w:val="•"/>
      <w:lvlJc w:val="left"/>
      <w:pPr>
        <w:ind w:left="4000" w:hanging="665"/>
      </w:pPr>
      <w:rPr>
        <w:rFonts w:hint="default"/>
      </w:rPr>
    </w:lvl>
    <w:lvl w:ilvl="5" w:tplc="BAFE1B56">
      <w:numFmt w:val="bullet"/>
      <w:lvlText w:val="•"/>
      <w:lvlJc w:val="left"/>
      <w:pPr>
        <w:ind w:left="4800" w:hanging="665"/>
      </w:pPr>
      <w:rPr>
        <w:rFonts w:hint="default"/>
      </w:rPr>
    </w:lvl>
    <w:lvl w:ilvl="6" w:tplc="130E5E2A">
      <w:numFmt w:val="bullet"/>
      <w:lvlText w:val="•"/>
      <w:lvlJc w:val="left"/>
      <w:pPr>
        <w:ind w:left="5600" w:hanging="665"/>
      </w:pPr>
      <w:rPr>
        <w:rFonts w:hint="default"/>
      </w:rPr>
    </w:lvl>
    <w:lvl w:ilvl="7" w:tplc="0332051A">
      <w:numFmt w:val="bullet"/>
      <w:lvlText w:val="•"/>
      <w:lvlJc w:val="left"/>
      <w:pPr>
        <w:ind w:left="6400" w:hanging="665"/>
      </w:pPr>
      <w:rPr>
        <w:rFonts w:hint="default"/>
      </w:rPr>
    </w:lvl>
    <w:lvl w:ilvl="8" w:tplc="11E6E2A6">
      <w:numFmt w:val="bullet"/>
      <w:lvlText w:val="•"/>
      <w:lvlJc w:val="left"/>
      <w:pPr>
        <w:ind w:left="7200" w:hanging="665"/>
      </w:pPr>
      <w:rPr>
        <w:rFonts w:hint="default"/>
      </w:r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trackRevisions/>
  <w:defaultTabStop w:val="720"/>
  <w:hyphenationZone w:val="425"/>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00737"/>
    <w:rsid w:val="000302C3"/>
    <w:rsid w:val="001624CE"/>
    <w:rsid w:val="00252345"/>
    <w:rsid w:val="00453CBD"/>
    <w:rsid w:val="004E63BA"/>
    <w:rsid w:val="0064241E"/>
    <w:rsid w:val="00700737"/>
    <w:rsid w:val="00725409"/>
    <w:rsid w:val="008468BA"/>
    <w:rsid w:val="00B2028A"/>
    <w:rsid w:val="00C545ED"/>
    <w:rsid w:val="00CF1ED1"/>
    <w:rsid w:val="00D34CB0"/>
    <w:rsid w:val="00E13E9B"/>
    <w:rsid w:val="00FB102B"/>
  </w:rsids>
  <m:mathPr>
    <m:mathFont m:val="Cambria Math"/>
    <m:brkBin m:val="before"/>
    <m:brkBinSub m:val="--"/>
    <m:smallFrac m:val="0"/>
    <m:dispDef/>
    <m:lMargin m:val="0"/>
    <m:rMargin m:val="0"/>
    <m:defJc m:val="centerGroup"/>
    <m:wrapIndent m:val="1440"/>
    <m:intLim m:val="subSup"/>
    <m:naryLim m:val="undOvr"/>
  </m:mathPr>
  <w:themeFontLang w:val="tr-TR"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84ED69E7-C698-4B2D-A140-FA59A3021E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tr-TR" w:eastAsia="en-US" w:bidi="ar-SA"/>
      </w:rPr>
    </w:rPrDefault>
    <w:pPrDefault>
      <w:pPr>
        <w:widowControl w:val="0"/>
        <w:autoSpaceDE w:val="0"/>
        <w:autoSpaceDN w:val="0"/>
      </w:pPr>
    </w:pPrDefault>
  </w:docDefaults>
  <w:latentStyles w:defLockedState="0" w:defUIPriority="99" w:defSemiHidden="0" w:defUnhideWhenUsed="0" w:defQFormat="0" w:count="374">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atentStyles>
  <w:style w:type="paragraph" w:default="1" w:styleId="Normal">
    <w:name w:val="Normal"/>
    <w:uiPriority w:val="1"/>
    <w:qFormat/>
    <w:rPr>
      <w:rFonts w:ascii="Arial" w:eastAsia="Arial" w:hAnsi="Arial" w:cs="Arial"/>
    </w:rPr>
  </w:style>
  <w:style w:type="paragraph" w:styleId="Balk1">
    <w:name w:val="heading 1"/>
    <w:basedOn w:val="Normal"/>
    <w:uiPriority w:val="1"/>
    <w:qFormat/>
    <w:pPr>
      <w:ind w:left="130"/>
      <w:outlineLvl w:val="0"/>
    </w:pPr>
    <w:rPr>
      <w:b/>
      <w:bCs/>
      <w:sz w:val="20"/>
      <w:szCs w:val="20"/>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table" w:customStyle="1" w:styleId="TableNormal1">
    <w:name w:val="Table Normal1"/>
    <w:uiPriority w:val="2"/>
    <w:semiHidden/>
    <w:unhideWhenUsed/>
    <w:qFormat/>
    <w:tblPr>
      <w:tblInd w:w="0" w:type="dxa"/>
      <w:tblCellMar>
        <w:top w:w="0" w:type="dxa"/>
        <w:left w:w="0" w:type="dxa"/>
        <w:bottom w:w="0" w:type="dxa"/>
        <w:right w:w="0" w:type="dxa"/>
      </w:tblCellMar>
    </w:tblPr>
  </w:style>
  <w:style w:type="paragraph" w:styleId="GvdeMetni">
    <w:name w:val="Body Text"/>
    <w:basedOn w:val="Normal"/>
    <w:uiPriority w:val="1"/>
    <w:qFormat/>
    <w:rPr>
      <w:sz w:val="20"/>
      <w:szCs w:val="20"/>
    </w:rPr>
  </w:style>
  <w:style w:type="paragraph" w:styleId="ListeParagraf">
    <w:name w:val="List Paragraph"/>
    <w:basedOn w:val="Normal"/>
    <w:uiPriority w:val="1"/>
    <w:qFormat/>
    <w:pPr>
      <w:ind w:left="795" w:hanging="665"/>
    </w:pPr>
  </w:style>
  <w:style w:type="paragraph" w:customStyle="1" w:styleId="TableParagraph">
    <w:name w:val="Table Paragraph"/>
    <w:basedOn w:val="Normal"/>
    <w:uiPriority w:val="1"/>
    <w:qFormat/>
  </w:style>
  <w:style w:type="paragraph" w:styleId="BalonMetni">
    <w:name w:val="Balloon Text"/>
    <w:basedOn w:val="Normal"/>
    <w:link w:val="BalonMetniChar"/>
    <w:uiPriority w:val="99"/>
    <w:semiHidden/>
    <w:unhideWhenUsed/>
    <w:rsid w:val="00453CBD"/>
    <w:rPr>
      <w:rFonts w:ascii="Tahoma" w:hAnsi="Tahoma" w:cs="Tahoma"/>
      <w:sz w:val="16"/>
      <w:szCs w:val="16"/>
    </w:rPr>
  </w:style>
  <w:style w:type="character" w:customStyle="1" w:styleId="BalonMetniChar">
    <w:name w:val="Balon Metni Char"/>
    <w:basedOn w:val="VarsaylanParagrafYazTipi"/>
    <w:link w:val="BalonMetni"/>
    <w:uiPriority w:val="99"/>
    <w:semiHidden/>
    <w:rsid w:val="00453CBD"/>
    <w:rPr>
      <w:rFonts w:ascii="Tahoma" w:eastAsia="Arial" w:hAnsi="Tahoma" w:cs="Tahoma"/>
      <w:sz w:val="16"/>
      <w:szCs w:val="16"/>
    </w:rPr>
  </w:style>
  <w:style w:type="character" w:styleId="AklamaBavurusu">
    <w:name w:val="annotation reference"/>
    <w:basedOn w:val="VarsaylanParagrafYazTipi"/>
    <w:uiPriority w:val="99"/>
    <w:semiHidden/>
    <w:unhideWhenUsed/>
    <w:rsid w:val="00CF1ED1"/>
    <w:rPr>
      <w:sz w:val="16"/>
      <w:szCs w:val="16"/>
    </w:rPr>
  </w:style>
  <w:style w:type="paragraph" w:styleId="AklamaMetni">
    <w:name w:val="annotation text"/>
    <w:basedOn w:val="Normal"/>
    <w:link w:val="AklamaMetniChar"/>
    <w:uiPriority w:val="99"/>
    <w:semiHidden/>
    <w:unhideWhenUsed/>
    <w:rsid w:val="00CF1ED1"/>
    <w:rPr>
      <w:sz w:val="20"/>
      <w:szCs w:val="20"/>
    </w:rPr>
  </w:style>
  <w:style w:type="character" w:customStyle="1" w:styleId="AklamaMetniChar">
    <w:name w:val="Açıklama Metni Char"/>
    <w:basedOn w:val="VarsaylanParagrafYazTipi"/>
    <w:link w:val="AklamaMetni"/>
    <w:uiPriority w:val="99"/>
    <w:semiHidden/>
    <w:rsid w:val="00CF1ED1"/>
    <w:rPr>
      <w:rFonts w:ascii="Arial" w:eastAsia="Arial" w:hAnsi="Arial" w:cs="Arial"/>
      <w:sz w:val="20"/>
      <w:szCs w:val="20"/>
    </w:rPr>
  </w:style>
  <w:style w:type="paragraph" w:styleId="AklamaKonusu">
    <w:name w:val="annotation subject"/>
    <w:basedOn w:val="AklamaMetni"/>
    <w:next w:val="AklamaMetni"/>
    <w:link w:val="AklamaKonusuChar"/>
    <w:uiPriority w:val="99"/>
    <w:semiHidden/>
    <w:unhideWhenUsed/>
    <w:rsid w:val="00CF1ED1"/>
    <w:rPr>
      <w:b/>
      <w:bCs/>
    </w:rPr>
  </w:style>
  <w:style w:type="character" w:customStyle="1" w:styleId="AklamaKonusuChar">
    <w:name w:val="Açıklama Konusu Char"/>
    <w:basedOn w:val="AklamaMetniChar"/>
    <w:link w:val="AklamaKonusu"/>
    <w:uiPriority w:val="99"/>
    <w:semiHidden/>
    <w:rsid w:val="00CF1ED1"/>
    <w:rPr>
      <w:rFonts w:ascii="Arial" w:eastAsia="Arial" w:hAnsi="Arial" w:cs="Arial"/>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aippi.org/committee/protection-of-graphical-user-interfaces/" TargetMode="External"/><Relationship Id="rId5" Type="http://schemas.openxmlformats.org/officeDocument/2006/relationships/footnotes" Target="footnotes.xml"/><Relationship Id="rId10" Type="http://schemas.openxmlformats.org/officeDocument/2006/relationships/hyperlink" Target="http://aippi.org/wp-" TargetMode="External"/><Relationship Id="rId4" Type="http://schemas.openxmlformats.org/officeDocument/2006/relationships/webSettings" Target="webSettings.xml"/><Relationship Id="rId9" Type="http://schemas.openxmlformats.org/officeDocument/2006/relationships/hyperlink" Target="http://aippi.org/wp-content/uploads/2017/01/FINAL-website-version-GUIs.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869</Words>
  <Characters>4959</Characters>
  <Application>Microsoft Office Word</Application>
  <DocSecurity>0</DocSecurity>
  <Lines>41</Lines>
  <Paragraphs>11</Paragraphs>
  <ScaleCrop>false</ScaleCrop>
  <HeadingPairs>
    <vt:vector size="4" baseType="variant">
      <vt:variant>
        <vt:lpstr>Konu Başlığı</vt:lpstr>
      </vt:variant>
      <vt:variant>
        <vt:i4>1</vt:i4>
      </vt:variant>
      <vt:variant>
        <vt:lpstr>Title</vt:lpstr>
      </vt:variant>
      <vt:variant>
        <vt:i4>1</vt:i4>
      </vt:variant>
    </vt:vector>
  </HeadingPairs>
  <TitlesOfParts>
    <vt:vector size="2" baseType="lpstr">
      <vt:lpstr>Resolution on Graphical user interfaces_English</vt:lpstr>
      <vt:lpstr>Resolution on Graphical user interfaces_English</vt:lpstr>
    </vt:vector>
  </TitlesOfParts>
  <Company/>
  <LinksUpToDate>false</LinksUpToDate>
  <CharactersWithSpaces>5817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Resolution on Graphical user interfaces_English</dc:title>
  <dc:creator>aiifma</dc:creator>
  <cp:lastModifiedBy>Olgac NACAKCI</cp:lastModifiedBy>
  <cp:revision>2</cp:revision>
  <cp:lastPrinted>2018-03-13T13:54:00Z</cp:lastPrinted>
  <dcterms:created xsi:type="dcterms:W3CDTF">2018-03-27T13:30:00Z</dcterms:created>
  <dcterms:modified xsi:type="dcterms:W3CDTF">2018-03-27T13:30:00Z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2017-10-27T00:00:00Z</vt:filetime>
  </property>
  <property fmtid="{D5CDD505-2E9C-101B-9397-08002B2CF9AE}" pid="3" name="Creator">
    <vt:lpwstr>PDFCreator 2.1.2.0</vt:lpwstr>
  </property>
  <property fmtid="{D5CDD505-2E9C-101B-9397-08002B2CF9AE}" pid="4" name="LastSaved">
    <vt:filetime>2018-02-21T00:00:00Z</vt:filetime>
  </property>
</Properties>
</file>